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0901" w:rsidRDefault="008E0901" w:rsidP="008E0901">
      <w:pPr>
        <w:spacing w:line="480" w:lineRule="auto"/>
        <w:jc w:val="center"/>
        <w:rPr>
          <w:sz w:val="22"/>
          <w:szCs w:val="22"/>
        </w:rPr>
      </w:pPr>
      <w:r>
        <w:rPr>
          <w:rFonts w:hint="eastAsia"/>
          <w:noProof/>
          <w:sz w:val="22"/>
          <w:szCs w:val="22"/>
        </w:rPr>
        <w:drawing>
          <wp:inline distT="0" distB="0" distL="0" distR="0">
            <wp:extent cx="4845050" cy="1651000"/>
            <wp:effectExtent l="0" t="0" r="0" b="0"/>
            <wp:docPr id="2" name="图片 2" descr="补充图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补充图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5050" cy="165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0901" w:rsidRDefault="008E0901" w:rsidP="009D014E">
      <w:pPr>
        <w:spacing w:line="360" w:lineRule="auto"/>
        <w:rPr>
          <w:sz w:val="22"/>
          <w:szCs w:val="22"/>
        </w:rPr>
      </w:pPr>
      <w:r>
        <w:rPr>
          <w:rFonts w:hint="eastAsia"/>
          <w:b/>
        </w:rPr>
        <w:t>Supplementary Fig</w:t>
      </w:r>
      <w:r w:rsidR="00D22397">
        <w:rPr>
          <w:b/>
        </w:rPr>
        <w:t>.</w:t>
      </w:r>
      <w:r>
        <w:rPr>
          <w:rFonts w:hint="eastAsia"/>
          <w:b/>
        </w:rPr>
        <w:t xml:space="preserve"> </w:t>
      </w:r>
      <w:r>
        <w:rPr>
          <w:b/>
        </w:rPr>
        <w:t>1</w:t>
      </w:r>
      <w:r>
        <w:rPr>
          <w:rFonts w:hint="eastAsia"/>
          <w:b/>
        </w:rPr>
        <w:t xml:space="preserve">. </w:t>
      </w:r>
      <w:r w:rsidRPr="001B58E3">
        <w:rPr>
          <w:sz w:val="22"/>
          <w:szCs w:val="22"/>
        </w:rPr>
        <w:t xml:space="preserve">Effects of ECR treatment on number of times crossed the target platform position and time spent in target quadrant </w:t>
      </w:r>
      <w:r w:rsidRPr="001B58E3">
        <w:rPr>
          <w:rFonts w:hint="eastAsia"/>
          <w:sz w:val="22"/>
          <w:szCs w:val="22"/>
        </w:rPr>
        <w:t xml:space="preserve">of SAMR1 mice </w:t>
      </w:r>
      <w:r w:rsidRPr="001B58E3">
        <w:rPr>
          <w:sz w:val="22"/>
          <w:szCs w:val="22"/>
        </w:rPr>
        <w:t>in Morris water maze (MWM)</w:t>
      </w:r>
      <w:r w:rsidR="009D014E" w:rsidRPr="006F7D65">
        <w:rPr>
          <w:sz w:val="22"/>
          <w:szCs w:val="22"/>
        </w:rPr>
        <w:t xml:space="preserve"> (n = </w:t>
      </w:r>
      <w:r w:rsidR="009D014E">
        <w:rPr>
          <w:sz w:val="22"/>
          <w:szCs w:val="22"/>
        </w:rPr>
        <w:t>8</w:t>
      </w:r>
      <w:r w:rsidR="009D014E" w:rsidRPr="006F7D65">
        <w:rPr>
          <w:sz w:val="22"/>
          <w:szCs w:val="22"/>
        </w:rPr>
        <w:t>)</w:t>
      </w:r>
      <w:r w:rsidRPr="001B58E3">
        <w:rPr>
          <w:sz w:val="22"/>
          <w:szCs w:val="22"/>
        </w:rPr>
        <w:t>.</w:t>
      </w:r>
      <w:r w:rsidR="005F5F11" w:rsidRPr="005F5F11">
        <w:rPr>
          <w:bCs/>
          <w:sz w:val="24"/>
        </w:rPr>
        <w:t xml:space="preserve"> </w:t>
      </w:r>
      <w:r w:rsidR="005F5F11" w:rsidRPr="003E49FF">
        <w:rPr>
          <w:bCs/>
          <w:sz w:val="24"/>
        </w:rPr>
        <w:t>Mean ± SD as data representation</w:t>
      </w:r>
      <w:r w:rsidR="005F5F11">
        <w:rPr>
          <w:bCs/>
          <w:sz w:val="24"/>
        </w:rPr>
        <w:t xml:space="preserve"> </w:t>
      </w:r>
      <w:r w:rsidR="005F5F11">
        <w:rPr>
          <w:rFonts w:hint="eastAsia"/>
          <w:bCs/>
          <w:sz w:val="24"/>
        </w:rPr>
        <w:t>and</w:t>
      </w:r>
      <w:r w:rsidR="005F5F11">
        <w:rPr>
          <w:bCs/>
          <w:sz w:val="24"/>
        </w:rPr>
        <w:t xml:space="preserve"> ns </w:t>
      </w:r>
      <w:r w:rsidR="005F5F11" w:rsidRPr="005F5F11">
        <w:rPr>
          <w:bCs/>
          <w:sz w:val="24"/>
        </w:rPr>
        <w:t>means no statistical difference</w:t>
      </w:r>
      <w:r w:rsidR="005F5F11">
        <w:rPr>
          <w:bCs/>
          <w:sz w:val="24"/>
        </w:rPr>
        <w:t>.</w:t>
      </w:r>
    </w:p>
    <w:p w:rsidR="008E0901" w:rsidRPr="005F5F11" w:rsidRDefault="008E0901" w:rsidP="008E0901">
      <w:pPr>
        <w:spacing w:line="480" w:lineRule="auto"/>
      </w:pPr>
    </w:p>
    <w:p w:rsidR="008E0901" w:rsidRDefault="008E0901" w:rsidP="008E0901">
      <w:pPr>
        <w:spacing w:line="480" w:lineRule="auto"/>
        <w:jc w:val="center"/>
        <w:rPr>
          <w:b/>
        </w:rPr>
      </w:pPr>
      <w:r w:rsidRPr="006F7D65">
        <w:rPr>
          <w:b/>
          <w:noProof/>
        </w:rPr>
        <w:drawing>
          <wp:inline distT="0" distB="0" distL="0" distR="0">
            <wp:extent cx="5448300" cy="2019300"/>
            <wp:effectExtent l="0" t="0" r="0" b="0"/>
            <wp:docPr id="1" name="图片 1" descr="补充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补充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8300" cy="201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5F11" w:rsidRPr="005F5F11" w:rsidRDefault="008E0901" w:rsidP="005F5F11">
      <w:pPr>
        <w:spacing w:line="360" w:lineRule="auto"/>
        <w:rPr>
          <w:bCs/>
          <w:sz w:val="22"/>
          <w:szCs w:val="22"/>
        </w:rPr>
      </w:pPr>
      <w:r>
        <w:rPr>
          <w:b/>
        </w:rPr>
        <w:t>Supplementary Fig</w:t>
      </w:r>
      <w:r w:rsidR="00D22397">
        <w:rPr>
          <w:b/>
        </w:rPr>
        <w:t>.</w:t>
      </w:r>
      <w:r>
        <w:rPr>
          <w:b/>
        </w:rPr>
        <w:t xml:space="preserve"> 2</w:t>
      </w:r>
      <w:r>
        <w:t>.</w:t>
      </w:r>
      <w:r>
        <w:rPr>
          <w:sz w:val="22"/>
          <w:szCs w:val="22"/>
        </w:rPr>
        <w:t xml:space="preserve"> </w:t>
      </w:r>
      <w:r w:rsidRPr="006F7D65">
        <w:rPr>
          <w:sz w:val="22"/>
          <w:szCs w:val="22"/>
        </w:rPr>
        <w:t xml:space="preserve">The effects of different concentrations of </w:t>
      </w:r>
      <w:proofErr w:type="spellStart"/>
      <w:r w:rsidRPr="006F7D65">
        <w:rPr>
          <w:sz w:val="22"/>
          <w:szCs w:val="22"/>
        </w:rPr>
        <w:t>Ecdysterone</w:t>
      </w:r>
      <w:proofErr w:type="spellEnd"/>
      <w:r w:rsidRPr="006F7D65">
        <w:rPr>
          <w:sz w:val="22"/>
          <w:szCs w:val="22"/>
        </w:rPr>
        <w:t xml:space="preserve"> and Aβ25</w:t>
      </w:r>
      <w:r w:rsidRPr="006F7D65">
        <w:rPr>
          <w:rFonts w:hint="eastAsia"/>
          <w:sz w:val="22"/>
          <w:szCs w:val="22"/>
        </w:rPr>
        <w:t>-</w:t>
      </w:r>
      <w:r w:rsidRPr="006F7D65">
        <w:rPr>
          <w:sz w:val="22"/>
          <w:szCs w:val="22"/>
        </w:rPr>
        <w:t>35 on cell viability of PC12 cells were analyzed by MTT</w:t>
      </w:r>
      <w:r w:rsidRPr="006F7D65">
        <w:rPr>
          <w:rFonts w:hint="eastAsia"/>
          <w:sz w:val="22"/>
          <w:szCs w:val="22"/>
        </w:rPr>
        <w:t xml:space="preserve"> assay</w:t>
      </w:r>
      <w:r w:rsidRPr="006F7D65">
        <w:rPr>
          <w:sz w:val="22"/>
          <w:szCs w:val="22"/>
        </w:rPr>
        <w:t xml:space="preserve"> (n = 6)</w:t>
      </w:r>
      <w:r>
        <w:rPr>
          <w:rFonts w:hint="eastAsia"/>
          <w:sz w:val="22"/>
          <w:szCs w:val="22"/>
        </w:rPr>
        <w:t xml:space="preserve">. </w:t>
      </w:r>
      <w:r w:rsidR="009D014E" w:rsidRPr="009D014E">
        <w:rPr>
          <w:bCs/>
          <w:sz w:val="24"/>
        </w:rPr>
        <w:t>The data were presented as the mean ± SD after being subjecte</w:t>
      </w:r>
      <w:bookmarkStart w:id="0" w:name="_GoBack"/>
      <w:bookmarkEnd w:id="0"/>
      <w:r w:rsidR="009D014E" w:rsidRPr="009D014E">
        <w:rPr>
          <w:bCs/>
          <w:sz w:val="24"/>
        </w:rPr>
        <w:t xml:space="preserve">d to one-way ANOVA and Tukey's post hoc test analysis. </w:t>
      </w:r>
      <w:r w:rsidR="005F5F11" w:rsidRPr="005F5F11">
        <w:rPr>
          <w:bCs/>
          <w:sz w:val="22"/>
          <w:szCs w:val="22"/>
          <w:vertAlign w:val="superscript"/>
        </w:rPr>
        <w:t>*</w:t>
      </w:r>
      <w:r w:rsidR="005F5F11" w:rsidRPr="005F5F11">
        <w:rPr>
          <w:bCs/>
          <w:i/>
          <w:sz w:val="22"/>
          <w:szCs w:val="22"/>
        </w:rPr>
        <w:t>P</w:t>
      </w:r>
      <w:r w:rsidR="005F5F11" w:rsidRPr="005F5F11">
        <w:rPr>
          <w:bCs/>
          <w:sz w:val="22"/>
          <w:szCs w:val="22"/>
        </w:rPr>
        <w:t xml:space="preserve">&lt;0.05, and </w:t>
      </w:r>
      <w:r w:rsidR="005F5F11" w:rsidRPr="005F5F11">
        <w:rPr>
          <w:bCs/>
          <w:sz w:val="22"/>
          <w:szCs w:val="22"/>
          <w:vertAlign w:val="superscript"/>
        </w:rPr>
        <w:t>**</w:t>
      </w:r>
      <w:r w:rsidR="005F5F11" w:rsidRPr="005F5F11">
        <w:rPr>
          <w:bCs/>
          <w:i/>
          <w:sz w:val="22"/>
          <w:szCs w:val="22"/>
        </w:rPr>
        <w:t>P</w:t>
      </w:r>
      <w:r w:rsidR="005F5F11" w:rsidRPr="005F5F11">
        <w:rPr>
          <w:bCs/>
          <w:sz w:val="22"/>
          <w:szCs w:val="22"/>
        </w:rPr>
        <w:t>&lt;0.01, vs. the control group.</w:t>
      </w:r>
    </w:p>
    <w:p w:rsidR="008E0901" w:rsidRPr="005F5F11" w:rsidRDefault="008E0901" w:rsidP="008E0901">
      <w:pPr>
        <w:spacing w:line="480" w:lineRule="auto"/>
        <w:rPr>
          <w:sz w:val="22"/>
          <w:szCs w:val="22"/>
        </w:rPr>
      </w:pPr>
    </w:p>
    <w:p w:rsidR="008E0901" w:rsidRDefault="008E0901" w:rsidP="008E0901">
      <w:pPr>
        <w:spacing w:line="480" w:lineRule="auto"/>
        <w:rPr>
          <w:sz w:val="22"/>
          <w:szCs w:val="22"/>
        </w:rPr>
      </w:pPr>
      <w:r w:rsidRPr="001B58E3">
        <w:rPr>
          <w:sz w:val="22"/>
          <w:szCs w:val="22"/>
        </w:rPr>
        <w:t xml:space="preserve"> </w:t>
      </w:r>
    </w:p>
    <w:p w:rsidR="000137A7" w:rsidRPr="008E0901" w:rsidRDefault="000137A7"/>
    <w:sectPr w:rsidR="000137A7" w:rsidRPr="008E0901">
      <w:footerReference w:type="even" r:id="rId8"/>
      <w:footerReference w:type="default" r:id="rId9"/>
      <w:pgSz w:w="11907" w:h="16840"/>
      <w:pgMar w:top="1440" w:right="1797" w:bottom="1440" w:left="1797" w:header="454" w:footer="454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72524" w:rsidRDefault="00172524">
      <w:r>
        <w:separator/>
      </w:r>
    </w:p>
  </w:endnote>
  <w:endnote w:type="continuationSeparator" w:id="0">
    <w:p w:rsidR="00172524" w:rsidRDefault="001725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12BC9" w:rsidRDefault="008E0901">
    <w:pPr>
      <w:pStyle w:val="a5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:rsidR="00612BC9" w:rsidRDefault="00385189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12BC9" w:rsidRDefault="008E0901">
    <w:pPr>
      <w:pStyle w:val="a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385189" w:rsidRPr="00385189">
      <w:rPr>
        <w:noProof/>
        <w:lang w:val="zh-CN"/>
      </w:rPr>
      <w:t>1</w:t>
    </w:r>
    <w:r>
      <w:fldChar w:fldCharType="end"/>
    </w:r>
  </w:p>
  <w:p w:rsidR="00612BC9" w:rsidRDefault="0038518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72524" w:rsidRDefault="00172524">
      <w:r>
        <w:separator/>
      </w:r>
    </w:p>
  </w:footnote>
  <w:footnote w:type="continuationSeparator" w:id="0">
    <w:p w:rsidR="00172524" w:rsidRDefault="001725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TE1MDSyNLOwMLI0NjVQ0lEKTi0uzszPAykwrAUAY8e5ZCwAAAA="/>
  </w:docVars>
  <w:rsids>
    <w:rsidRoot w:val="003B5C3E"/>
    <w:rsid w:val="000137A7"/>
    <w:rsid w:val="00172524"/>
    <w:rsid w:val="00193221"/>
    <w:rsid w:val="00385189"/>
    <w:rsid w:val="003B5C3E"/>
    <w:rsid w:val="005F5F11"/>
    <w:rsid w:val="008E0901"/>
    <w:rsid w:val="009D014E"/>
    <w:rsid w:val="00A74061"/>
    <w:rsid w:val="00BD7911"/>
    <w:rsid w:val="00CC3FB8"/>
    <w:rsid w:val="00D22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6E84521"/>
  <w15:chartTrackingRefBased/>
  <w15:docId w15:val="{EB87F928-B8DE-41DA-956F-D397922188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090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8E0901"/>
  </w:style>
  <w:style w:type="character" w:customStyle="1" w:styleId="a4">
    <w:name w:val="页脚 字符"/>
    <w:link w:val="a5"/>
    <w:uiPriority w:val="99"/>
    <w:rsid w:val="008E0901"/>
    <w:rPr>
      <w:sz w:val="18"/>
      <w:szCs w:val="18"/>
    </w:rPr>
  </w:style>
  <w:style w:type="paragraph" w:styleId="a5">
    <w:name w:val="footer"/>
    <w:basedOn w:val="a"/>
    <w:link w:val="a4"/>
    <w:uiPriority w:val="99"/>
    <w:rsid w:val="008E090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8E0901"/>
    <w:rPr>
      <w:rFonts w:ascii="Times New Roman" w:eastAsia="宋体" w:hAnsi="Times New Roman" w:cs="Times New Roman"/>
      <w:sz w:val="18"/>
      <w:szCs w:val="18"/>
    </w:rPr>
  </w:style>
  <w:style w:type="character" w:styleId="a6">
    <w:name w:val="Hyperlink"/>
    <w:basedOn w:val="a0"/>
    <w:uiPriority w:val="99"/>
    <w:unhideWhenUsed/>
    <w:rsid w:val="00BD7911"/>
    <w:rPr>
      <w:color w:val="0000FF"/>
      <w:u w:val="single"/>
    </w:rPr>
  </w:style>
  <w:style w:type="paragraph" w:customStyle="1" w:styleId="A7">
    <w:name w:val="正文 A"/>
    <w:qFormat/>
    <w:rsid w:val="00BD7911"/>
    <w:pPr>
      <w:widowControl w:val="0"/>
      <w:jc w:val="both"/>
    </w:pPr>
    <w:rPr>
      <w:rFonts w:ascii="Times New Roman" w:eastAsia="Arial Unicode MS" w:hAnsi="Arial Unicode MS" w:cs="Arial Unicode MS"/>
      <w:color w:val="000000"/>
      <w:szCs w:val="21"/>
    </w:rPr>
  </w:style>
  <w:style w:type="paragraph" w:styleId="a8">
    <w:name w:val="header"/>
    <w:basedOn w:val="a"/>
    <w:link w:val="a9"/>
    <w:uiPriority w:val="99"/>
    <w:unhideWhenUsed/>
    <w:rsid w:val="00D223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D2239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87</Words>
  <Characters>501</Characters>
  <Application>Microsoft Office Word</Application>
  <DocSecurity>0</DocSecurity>
  <Lines>4</Lines>
  <Paragraphs>1</Paragraphs>
  <ScaleCrop>false</ScaleCrop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Lily-JIN Office</cp:lastModifiedBy>
  <cp:revision>7</cp:revision>
  <dcterms:created xsi:type="dcterms:W3CDTF">2023-09-05T15:13:00Z</dcterms:created>
  <dcterms:modified xsi:type="dcterms:W3CDTF">2024-03-14T08:29:00Z</dcterms:modified>
</cp:coreProperties>
</file>