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5DFC" w:rsidRPr="00D50DF0" w:rsidRDefault="00D50DF0" w:rsidP="00D50DF0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D50DF0">
        <w:rPr>
          <w:rFonts w:ascii="Times New Roman" w:hAnsi="Times New Roman" w:cs="Times New Roman"/>
          <w:b/>
          <w:bCs/>
          <w:sz w:val="24"/>
        </w:rPr>
        <w:t>Supplementary Material</w:t>
      </w:r>
      <w:r w:rsidRPr="00D50DF0">
        <w:rPr>
          <w:rFonts w:ascii="Times New Roman" w:hAnsi="Times New Roman" w:cs="Times New Roman"/>
          <w:b/>
          <w:bCs/>
          <w:sz w:val="24"/>
        </w:rPr>
        <w:t>s</w:t>
      </w:r>
    </w:p>
    <w:p w:rsidR="00D50DF0" w:rsidRDefault="00D50DF0" w:rsidP="00D50DF0">
      <w:pPr>
        <w:rPr>
          <w:rFonts w:ascii="Times New Roman" w:hAnsi="Times New Roman" w:cs="Times New Roman"/>
          <w:color w:val="000000"/>
          <w:sz w:val="18"/>
          <w:szCs w:val="18"/>
        </w:rPr>
      </w:pPr>
      <w:r w:rsidRPr="00D50DF0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drawing>
          <wp:inline distT="0" distB="0" distL="0" distR="0" wp14:anchorId="5028BBF2" wp14:editId="45BF1213">
            <wp:extent cx="5274310" cy="7454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Fig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.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 xml:space="preserve"> S1. Peripheral transcriptomic responses post-stroke in human datasets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 xml:space="preserve">.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(A–C)</w:t>
      </w:r>
      <w:r w:rsidRPr="00D50DF0">
        <w:rPr>
          <w:rStyle w:val="apple-converted-space"/>
          <w:rFonts w:ascii="Times New Roman" w:hAnsi="Times New Roman" w:cs="Times New Roman"/>
          <w:b/>
          <w:bCs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Volcano plots showing differentially expressed genes (DEGs) at 3 h, 5 h, and 24 h post-stroke compared to controls in human datasets.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(E)</w:t>
      </w:r>
      <w:r w:rsidRPr="00D50DF0">
        <w:rPr>
          <w:rStyle w:val="apple-converted-space"/>
          <w:rFonts w:ascii="Times New Roman" w:hAnsi="Times New Roman" w:cs="Times New Roman"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Functional enrichment analysis of DEGs at 3 h post-stroke, highlighting pathways related to cytokine signaling, cell adhesion, and tissue homeostasis.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(D, F)</w:t>
      </w:r>
      <w:r w:rsidRPr="00D50DF0">
        <w:rPr>
          <w:rStyle w:val="apple-converted-space"/>
          <w:rFonts w:ascii="Times New Roman" w:hAnsi="Times New Roman" w:cs="Times New Roman"/>
          <w:b/>
          <w:bCs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Enrichment analysis of DEGs at 24 h post-stroke</w:t>
      </w:r>
      <w:r>
        <w:rPr>
          <w:rFonts w:ascii="Times New Roman" w:hAnsi="Times New Roman" w:cs="Times New Roman"/>
          <w:color w:val="000000"/>
          <w:sz w:val="18"/>
          <w:szCs w:val="18"/>
        </w:rPr>
        <w:t>.</w:t>
      </w:r>
    </w:p>
    <w:p w:rsidR="00D50DF0" w:rsidRPr="00D50DF0" w:rsidRDefault="00D50DF0" w:rsidP="00D50DF0">
      <w:pPr>
        <w:widowControl/>
        <w:jc w:val="left"/>
        <w:rPr>
          <w:rFonts w:ascii="Times New Roman" w:hAnsi="Times New Roman" w:cs="Times New Roman" w:hint="eastAsia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br w:type="page"/>
      </w:r>
    </w:p>
    <w:p w:rsidR="00D50DF0" w:rsidRPr="00D50DF0" w:rsidRDefault="00D50DF0" w:rsidP="00D50DF0">
      <w:pPr>
        <w:pStyle w:val="ae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D50DF0">
        <w:rPr>
          <w:rFonts w:ascii="Times New Roman" w:hAnsi="Times New Roman" w:cs="Times New Roman"/>
          <w:noProof/>
          <w:color w:val="000000"/>
          <w:sz w:val="18"/>
          <w:szCs w:val="18"/>
        </w:rPr>
        <w:lastRenderedPageBreak/>
        <w:drawing>
          <wp:inline distT="0" distB="0" distL="0" distR="0" wp14:anchorId="42B417F0" wp14:editId="12072D61">
            <wp:extent cx="5274310" cy="74549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DF0" w:rsidRPr="00D50DF0" w:rsidRDefault="00D50DF0" w:rsidP="00D50DF0">
      <w:pPr>
        <w:pStyle w:val="ae"/>
        <w:jc w:val="both"/>
        <w:rPr>
          <w:rFonts w:ascii="Times New Roman" w:hAnsi="Times New Roman" w:cs="Times New Roman" w:hint="eastAsia"/>
          <w:color w:val="000000"/>
          <w:sz w:val="18"/>
          <w:szCs w:val="18"/>
        </w:rPr>
      </w:pP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Fig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.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 xml:space="preserve"> S2. Gene ontology (GO) enrichment of cross-species DEGs in immune cell types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.</w:t>
      </w:r>
      <w:r w:rsidRPr="00D50DF0"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(A, B)</w:t>
      </w:r>
      <w:r w:rsidRPr="00D50DF0">
        <w:rPr>
          <w:rStyle w:val="apple-converted-space"/>
          <w:rFonts w:ascii="Times New Roman" w:hAnsi="Times New Roman" w:cs="Times New Roman"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GO enrichment for myeloid cell DEGs, highlighting pathways related to chemotaxis, cell migration, and inflammation.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(C, D)</w:t>
      </w:r>
      <w:r w:rsidRPr="00D50DF0">
        <w:rPr>
          <w:rStyle w:val="apple-converted-space"/>
          <w:rFonts w:ascii="Times New Roman" w:hAnsi="Times New Roman" w:cs="Times New Roman"/>
          <w:b/>
          <w:bCs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GO terms enriched in megakaryocyte-specific DEGs, focusing on phagocytosis and homeostatic regulation.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(E, F)</w:t>
      </w:r>
      <w:r w:rsidRPr="00D50DF0">
        <w:rPr>
          <w:rStyle w:val="apple-converted-space"/>
          <w:rFonts w:ascii="Times New Roman" w:hAnsi="Times New Roman" w:cs="Times New Roman"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T-cell DEGs showed minimal functional clustering, reflecting a limited transcriptional response post-stroke.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(G, H)</w:t>
      </w:r>
      <w:r w:rsidRPr="00D50DF0">
        <w:rPr>
          <w:rStyle w:val="apple-converted-space"/>
          <w:rFonts w:ascii="Times New Roman" w:hAnsi="Times New Roman" w:cs="Times New Roman"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B-cell GO enrichment revealed moderate oxidative stress pathway involvement, emphasizing metabolic reprogramming.</w:t>
      </w:r>
    </w:p>
    <w:p w:rsidR="00D50DF0" w:rsidRPr="00D50DF0" w:rsidRDefault="00D50DF0" w:rsidP="00D50DF0">
      <w:pPr>
        <w:rPr>
          <w:rFonts w:ascii="Times New Roman" w:hAnsi="Times New Roman" w:cs="Times New Roman" w:hint="eastAsia"/>
          <w:sz w:val="18"/>
          <w:szCs w:val="18"/>
        </w:rPr>
      </w:pPr>
      <w:r w:rsidRPr="00D50DF0">
        <w:rPr>
          <w:rFonts w:ascii="Times New Roman" w:eastAsia="宋体" w:hAnsi="Times New Roman" w:cs="Times New Roman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 wp14:anchorId="5686AA1A" wp14:editId="07388795">
            <wp:extent cx="5274310" cy="5686236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25"/>
                    <a:stretch/>
                  </pic:blipFill>
                  <pic:spPr bwMode="auto">
                    <a:xfrm>
                      <a:off x="0" y="0"/>
                      <a:ext cx="5274310" cy="5686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Fig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.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 xml:space="preserve"> S3. Quality control and cell-type annotation in ischemic brain single-cell RNA-seq data</w:t>
      </w:r>
      <w:r w:rsidRPr="00D50DF0">
        <w:rPr>
          <w:rStyle w:val="af"/>
          <w:rFonts w:ascii="Times New Roman" w:hAnsi="Times New Roman" w:cs="Times New Roman"/>
          <w:color w:val="000000"/>
          <w:sz w:val="18"/>
          <w:szCs w:val="18"/>
        </w:rPr>
        <w:t>.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(A, B)</w:t>
      </w:r>
      <w:r w:rsidRPr="00D50DF0">
        <w:rPr>
          <w:rStyle w:val="apple-converted-space"/>
          <w:rFonts w:ascii="Times New Roman" w:hAnsi="Times New Roman" w:cs="Times New Roman"/>
          <w:b/>
          <w:bCs/>
          <w:color w:val="000000"/>
          <w:sz w:val="18"/>
          <w:szCs w:val="18"/>
        </w:rPr>
        <w:t> 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t>Bar plots illustrating uniform sequencing depth (UMI counts) in dataset.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D50DF0">
        <w:rPr>
          <w:rStyle w:val="af"/>
          <w:rFonts w:ascii="Times New Roman" w:hAnsi="Times New Roman" w:cs="Times New Roman"/>
          <w:b w:val="0"/>
          <w:bCs w:val="0"/>
          <w:color w:val="000000"/>
          <w:sz w:val="18"/>
          <w:szCs w:val="18"/>
        </w:rPr>
        <w:t>(C)</w:t>
      </w:r>
      <w:r w:rsidRPr="00D50DF0">
        <w:rPr>
          <w:rStyle w:val="apple-converted-space"/>
          <w:rFonts w:ascii="Times New Roman" w:hAnsi="Times New Roman" w:cs="Times New Roman"/>
          <w:b/>
          <w:bCs/>
          <w:color w:val="000000"/>
          <w:sz w:val="18"/>
          <w:szCs w:val="18"/>
        </w:rPr>
        <w:t> </w:t>
      </w:r>
      <w:proofErr w:type="spellStart"/>
      <w:r w:rsidRPr="00D50DF0">
        <w:rPr>
          <w:rFonts w:ascii="Times New Roman" w:hAnsi="Times New Roman" w:cs="Times New Roman"/>
          <w:color w:val="000000"/>
          <w:sz w:val="18"/>
          <w:szCs w:val="18"/>
        </w:rPr>
        <w:t>Featureplot</w:t>
      </w:r>
      <w:proofErr w:type="spellEnd"/>
      <w:r w:rsidRPr="00D50DF0">
        <w:rPr>
          <w:rFonts w:ascii="Times New Roman" w:hAnsi="Times New Roman" w:cs="Times New Roman"/>
          <w:color w:val="000000"/>
          <w:sz w:val="18"/>
          <w:szCs w:val="18"/>
        </w:rPr>
        <w:t xml:space="preserve"> plots of canonical marker gene expression confirming cell-type annotations in the dataset.</w:t>
      </w:r>
      <w:r w:rsidRPr="00D50DF0">
        <w:rPr>
          <w:rFonts w:ascii="Times New Roman" w:hAnsi="Times New Roman" w:cs="Times New Roman"/>
          <w:color w:val="000000"/>
          <w:sz w:val="18"/>
          <w:szCs w:val="18"/>
        </w:rPr>
        <w:br/>
      </w:r>
    </w:p>
    <w:sectPr w:rsidR="00D50DF0" w:rsidRPr="00D50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47375"/>
    <w:multiLevelType w:val="hybridMultilevel"/>
    <w:tmpl w:val="5852A6C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21034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DF0"/>
    <w:rsid w:val="004F5DFC"/>
    <w:rsid w:val="00D50DF0"/>
    <w:rsid w:val="00E4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7144F"/>
  <w15:chartTrackingRefBased/>
  <w15:docId w15:val="{33CE2706-8217-334C-A985-BF22228B6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50DF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0D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D50D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0DF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0DF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0DF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0DF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0DF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0DF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50DF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0D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D50D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0DF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0DF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50DF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50DF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50DF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50DF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50DF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0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0DF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0D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0D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0D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0DF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0DF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0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0DF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50DF0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D50D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">
    <w:name w:val="Strong"/>
    <w:basedOn w:val="a0"/>
    <w:uiPriority w:val="22"/>
    <w:qFormat/>
    <w:rsid w:val="00D50DF0"/>
    <w:rPr>
      <w:b/>
      <w:bCs/>
    </w:rPr>
  </w:style>
  <w:style w:type="character" w:customStyle="1" w:styleId="apple-converted-space">
    <w:name w:val="apple-converted-space"/>
    <w:basedOn w:val="a0"/>
    <w:rsid w:val="00D50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</dc:creator>
  <cp:keywords/>
  <dc:description/>
  <cp:lastModifiedBy>zac</cp:lastModifiedBy>
  <cp:revision>1</cp:revision>
  <dcterms:created xsi:type="dcterms:W3CDTF">2025-02-07T08:51:00Z</dcterms:created>
  <dcterms:modified xsi:type="dcterms:W3CDTF">2025-02-07T09:00:00Z</dcterms:modified>
</cp:coreProperties>
</file>