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5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9638"/>
      </w:tblGrid>
      <w:tr w:rsidR="00176698" w:rsidRPr="00A56D25" w14:paraId="5C34E427" w14:textId="77777777" w:rsidTr="00A56D25">
        <w:trPr>
          <w:jc w:val="center"/>
        </w:trPr>
        <w:tc>
          <w:tcPr>
            <w:tcW w:w="5000" w:type="pct"/>
            <w:vAlign w:val="center"/>
          </w:tcPr>
          <w:p w14:paraId="1395283A" w14:textId="2313946F" w:rsidR="00176698" w:rsidRPr="00A56D25" w:rsidRDefault="005056E9" w:rsidP="006428FC">
            <w:pPr>
              <w:snapToGrid w:val="0"/>
              <w:spacing w:line="204" w:lineRule="auto"/>
              <w:jc w:val="center"/>
              <w:rPr>
                <w:noProof/>
                <w:sz w:val="22"/>
                <w:szCs w:val="22"/>
                <w:lang w:val="en-US"/>
              </w:rPr>
            </w:pPr>
            <w:bookmarkStart w:id="0" w:name="_Hlk148686294"/>
            <w:r w:rsidRPr="00A56D25">
              <w:rPr>
                <w:rFonts w:eastAsia="Calibri"/>
                <w:noProof/>
                <w:sz w:val="22"/>
                <w:szCs w:val="22"/>
                <w:lang w:val="en-US" w:eastAsia="ru-RU"/>
              </w:rPr>
              <w:drawing>
                <wp:inline distT="0" distB="0" distL="0" distR="0" wp14:anchorId="41322AF5" wp14:editId="01DA677B">
                  <wp:extent cx="5400000" cy="2700000"/>
                  <wp:effectExtent l="0" t="0" r="0" b="571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pQQ.jpe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27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6698" w:rsidRPr="00A56D25" w14:paraId="47AB4F0B" w14:textId="77777777" w:rsidTr="00A56D25">
        <w:trPr>
          <w:jc w:val="center"/>
        </w:trPr>
        <w:tc>
          <w:tcPr>
            <w:tcW w:w="5000" w:type="pct"/>
            <w:vAlign w:val="center"/>
          </w:tcPr>
          <w:p w14:paraId="74219703" w14:textId="77777777" w:rsidR="00176698" w:rsidRPr="00A56D25" w:rsidRDefault="00176698" w:rsidP="006428FC">
            <w:pPr>
              <w:snapToGrid w:val="0"/>
              <w:spacing w:line="204" w:lineRule="auto"/>
              <w:jc w:val="center"/>
              <w:rPr>
                <w:noProof/>
                <w:sz w:val="22"/>
                <w:szCs w:val="22"/>
                <w:lang w:val="en-US"/>
              </w:rPr>
            </w:pPr>
            <w:r w:rsidRPr="00A56D25">
              <w:rPr>
                <w:sz w:val="22"/>
                <w:szCs w:val="22"/>
                <w:lang w:val="en-US"/>
              </w:rPr>
              <w:t>A</w:t>
            </w:r>
          </w:p>
        </w:tc>
      </w:tr>
      <w:tr w:rsidR="00176698" w:rsidRPr="00A56D25" w14:paraId="43DA678A" w14:textId="77777777" w:rsidTr="00A56D25">
        <w:trPr>
          <w:jc w:val="center"/>
        </w:trPr>
        <w:tc>
          <w:tcPr>
            <w:tcW w:w="5000" w:type="pct"/>
            <w:vAlign w:val="center"/>
          </w:tcPr>
          <w:p w14:paraId="120423B4" w14:textId="017ABB52" w:rsidR="00176698" w:rsidRPr="00A56D25" w:rsidRDefault="005056E9" w:rsidP="006428FC">
            <w:pPr>
              <w:snapToGrid w:val="0"/>
              <w:spacing w:line="204" w:lineRule="auto"/>
              <w:jc w:val="center"/>
              <w:rPr>
                <w:noProof/>
                <w:sz w:val="22"/>
                <w:szCs w:val="22"/>
                <w:lang w:val="en-US"/>
              </w:rPr>
            </w:pPr>
            <w:r w:rsidRPr="00A56D25">
              <w:rPr>
                <w:rFonts w:eastAsia="Calibri"/>
                <w:noProof/>
                <w:sz w:val="22"/>
                <w:szCs w:val="22"/>
                <w:lang w:val="en-US" w:eastAsia="ru-RU"/>
              </w:rPr>
              <w:drawing>
                <wp:inline distT="0" distB="0" distL="0" distR="0" wp14:anchorId="5C70ED9D" wp14:editId="32C094F4">
                  <wp:extent cx="5400000" cy="2700000"/>
                  <wp:effectExtent l="0" t="0" r="0" b="571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Mqq.jpe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27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6698" w:rsidRPr="00A56D25" w14:paraId="4C2420D2" w14:textId="77777777" w:rsidTr="00A56D25">
        <w:trPr>
          <w:jc w:val="center"/>
        </w:trPr>
        <w:tc>
          <w:tcPr>
            <w:tcW w:w="5000" w:type="pct"/>
            <w:vAlign w:val="center"/>
          </w:tcPr>
          <w:p w14:paraId="2CC2E6FC" w14:textId="77777777" w:rsidR="00176698" w:rsidRPr="00A56D25" w:rsidRDefault="00176698" w:rsidP="006428FC">
            <w:pPr>
              <w:snapToGrid w:val="0"/>
              <w:spacing w:line="204" w:lineRule="auto"/>
              <w:jc w:val="center"/>
              <w:rPr>
                <w:noProof/>
                <w:sz w:val="22"/>
                <w:szCs w:val="22"/>
                <w:lang w:val="en-US"/>
              </w:rPr>
            </w:pPr>
            <w:r w:rsidRPr="00A56D25">
              <w:rPr>
                <w:noProof/>
                <w:sz w:val="22"/>
                <w:szCs w:val="22"/>
                <w:lang w:val="en-US"/>
              </w:rPr>
              <w:t>B</w:t>
            </w:r>
          </w:p>
        </w:tc>
      </w:tr>
      <w:tr w:rsidR="00176698" w:rsidRPr="00A56D25" w14:paraId="63576205" w14:textId="77777777" w:rsidTr="00A56D25">
        <w:trPr>
          <w:jc w:val="center"/>
        </w:trPr>
        <w:tc>
          <w:tcPr>
            <w:tcW w:w="5000" w:type="pct"/>
            <w:vAlign w:val="center"/>
          </w:tcPr>
          <w:p w14:paraId="210BF8E0" w14:textId="39512E6B" w:rsidR="00176698" w:rsidRPr="00A56D25" w:rsidRDefault="005056E9" w:rsidP="006428FC">
            <w:pPr>
              <w:snapToGrid w:val="0"/>
              <w:spacing w:line="204" w:lineRule="auto"/>
              <w:jc w:val="center"/>
              <w:rPr>
                <w:noProof/>
                <w:color w:val="000000"/>
                <w:spacing w:val="-2"/>
                <w:kern w:val="36"/>
                <w:sz w:val="22"/>
                <w:szCs w:val="22"/>
                <w:lang w:val="en-US" w:eastAsia="ru-RU"/>
              </w:rPr>
            </w:pPr>
            <w:r w:rsidRPr="00A56D25">
              <w:rPr>
                <w:rFonts w:eastAsia="Calibri"/>
                <w:noProof/>
                <w:sz w:val="22"/>
                <w:szCs w:val="22"/>
                <w:lang w:val="en-US" w:eastAsia="ru-RU"/>
              </w:rPr>
              <w:drawing>
                <wp:inline distT="0" distB="0" distL="0" distR="0" wp14:anchorId="7A6E8DFE" wp14:editId="211F221F">
                  <wp:extent cx="5400000" cy="2700000"/>
                  <wp:effectExtent l="0" t="0" r="0" b="571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timqq.jpe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27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6698" w:rsidRPr="00A56D25" w14:paraId="1699F07F" w14:textId="77777777" w:rsidTr="00A56D25">
        <w:trPr>
          <w:jc w:val="center"/>
        </w:trPr>
        <w:tc>
          <w:tcPr>
            <w:tcW w:w="5000" w:type="pct"/>
            <w:vAlign w:val="center"/>
          </w:tcPr>
          <w:p w14:paraId="2A583FF2" w14:textId="77777777" w:rsidR="00176698" w:rsidRPr="00A56D25" w:rsidRDefault="00176698" w:rsidP="006428FC">
            <w:pPr>
              <w:snapToGrid w:val="0"/>
              <w:spacing w:line="204" w:lineRule="auto"/>
              <w:jc w:val="center"/>
              <w:rPr>
                <w:noProof/>
                <w:sz w:val="22"/>
                <w:szCs w:val="22"/>
                <w:lang w:val="en-US"/>
              </w:rPr>
            </w:pPr>
            <w:r w:rsidRPr="00A56D25">
              <w:rPr>
                <w:noProof/>
                <w:color w:val="000000"/>
                <w:spacing w:val="-2"/>
                <w:kern w:val="36"/>
                <w:sz w:val="22"/>
                <w:szCs w:val="22"/>
                <w:lang w:val="en-US" w:eastAsia="ru-RU"/>
              </w:rPr>
              <w:t>C</w:t>
            </w:r>
          </w:p>
        </w:tc>
      </w:tr>
    </w:tbl>
    <w:p w14:paraId="4AD51B9A" w14:textId="5ADF7AFB" w:rsidR="004F524F" w:rsidRPr="00A56D25" w:rsidRDefault="00176698" w:rsidP="00A56D25">
      <w:pPr>
        <w:spacing w:before="120" w:line="228" w:lineRule="auto"/>
        <w:jc w:val="both"/>
        <w:rPr>
          <w:sz w:val="22"/>
          <w:szCs w:val="22"/>
          <w:lang w:val="en-US" w:eastAsia="ru-RU"/>
        </w:rPr>
      </w:pPr>
      <w:r w:rsidRPr="00A56D25">
        <w:rPr>
          <w:b/>
          <w:bCs/>
          <w:color w:val="000000" w:themeColor="text1"/>
          <w:sz w:val="22"/>
          <w:szCs w:val="22"/>
          <w:lang w:eastAsia="ru-RU"/>
        </w:rPr>
        <w:t xml:space="preserve">Supplementary </w:t>
      </w:r>
      <w:r w:rsidRPr="00A56D25">
        <w:rPr>
          <w:b/>
          <w:bCs/>
          <w:color w:val="000000" w:themeColor="text1"/>
          <w:sz w:val="22"/>
          <w:szCs w:val="22"/>
          <w:lang w:val="en-US" w:eastAsia="ru-RU"/>
        </w:rPr>
        <w:t>Fig</w:t>
      </w:r>
      <w:r w:rsidR="00AE311F">
        <w:rPr>
          <w:rFonts w:eastAsiaTheme="minorEastAsia" w:hint="eastAsia"/>
          <w:b/>
          <w:bCs/>
          <w:color w:val="000000" w:themeColor="text1"/>
          <w:sz w:val="22"/>
          <w:szCs w:val="22"/>
          <w:lang w:val="en-US" w:eastAsia="zh-CN"/>
        </w:rPr>
        <w:t>.</w:t>
      </w:r>
      <w:r w:rsidRPr="00A56D25">
        <w:rPr>
          <w:b/>
          <w:bCs/>
          <w:color w:val="000000" w:themeColor="text1"/>
          <w:sz w:val="22"/>
          <w:szCs w:val="22"/>
          <w:lang w:val="en-US" w:eastAsia="ru-RU"/>
        </w:rPr>
        <w:t xml:space="preserve"> </w:t>
      </w:r>
      <w:r w:rsidR="005056E9" w:rsidRPr="00A56D25">
        <w:rPr>
          <w:b/>
          <w:bCs/>
          <w:color w:val="000000" w:themeColor="text1"/>
          <w:sz w:val="22"/>
          <w:szCs w:val="22"/>
          <w:lang w:val="ru-RU" w:eastAsia="ru-RU"/>
        </w:rPr>
        <w:t>1</w:t>
      </w:r>
      <w:r w:rsidRPr="00A56D25">
        <w:rPr>
          <w:color w:val="000000" w:themeColor="text1"/>
          <w:sz w:val="22"/>
          <w:szCs w:val="22"/>
          <w:lang w:val="en-US" w:eastAsia="ru-RU"/>
        </w:rPr>
        <w:t>.</w:t>
      </w:r>
      <w:r w:rsidRPr="00A56D25">
        <w:rPr>
          <w:b/>
          <w:bCs/>
          <w:sz w:val="22"/>
          <w:szCs w:val="22"/>
          <w:lang w:val="en-US" w:eastAsia="ru-RU"/>
        </w:rPr>
        <w:t xml:space="preserve"> </w:t>
      </w:r>
      <w:r w:rsidRPr="00A56D25">
        <w:rPr>
          <w:sz w:val="22"/>
          <w:szCs w:val="22"/>
          <w:lang w:val="en-US" w:eastAsia="ru-RU"/>
        </w:rPr>
        <w:t xml:space="preserve">Quantile–quantile (Q–Q) plots of the GWAS results for the studied growth </w:t>
      </w:r>
      <w:r w:rsidR="00371E6A" w:rsidRPr="00A56D25">
        <w:rPr>
          <w:sz w:val="22"/>
          <w:szCs w:val="22"/>
          <w:lang w:val="en-US" w:eastAsia="ru-RU"/>
        </w:rPr>
        <w:t xml:space="preserve">sperm quality </w:t>
      </w:r>
      <w:r w:rsidRPr="00A56D25">
        <w:rPr>
          <w:sz w:val="22"/>
          <w:szCs w:val="22"/>
          <w:lang w:val="en-US" w:eastAsia="ru-RU"/>
        </w:rPr>
        <w:t>traits</w:t>
      </w:r>
      <w:r w:rsidR="00371E6A" w:rsidRPr="00A56D25">
        <w:rPr>
          <w:sz w:val="22"/>
          <w:szCs w:val="22"/>
          <w:lang w:eastAsia="ru-RU"/>
        </w:rPr>
        <w:t>.</w:t>
      </w:r>
      <w:r w:rsidRPr="00A56D25">
        <w:rPr>
          <w:sz w:val="22"/>
          <w:szCs w:val="22"/>
          <w:lang w:val="en-US" w:eastAsia="ru-RU"/>
        </w:rPr>
        <w:t xml:space="preserve"> </w:t>
      </w:r>
      <w:r w:rsidR="00371E6A" w:rsidRPr="00A56D25">
        <w:rPr>
          <w:sz w:val="22"/>
          <w:szCs w:val="22"/>
          <w:lang w:val="en-US"/>
        </w:rPr>
        <w:t>(A) forward progressive motility, (B) frequency of damaged membranes, and (C) sperm cell respiration rate.</w:t>
      </w:r>
      <w:bookmarkEnd w:id="0"/>
      <w:r w:rsidR="00371E6A" w:rsidRPr="00A56D25">
        <w:rPr>
          <w:sz w:val="22"/>
          <w:szCs w:val="22"/>
          <w:lang w:val="en-US" w:eastAsia="ru-RU"/>
        </w:rPr>
        <w:t xml:space="preserve"> Q–Q graphs showed quantiles of the probability distribution of predicted and observed departures from the normal distribution for nominal significance values (−log</w:t>
      </w:r>
      <w:r w:rsidR="00371E6A" w:rsidRPr="00A56D25">
        <w:rPr>
          <w:sz w:val="22"/>
          <w:szCs w:val="22"/>
          <w:vertAlign w:val="subscript"/>
          <w:lang w:val="en-US" w:eastAsia="ru-RU"/>
        </w:rPr>
        <w:t>10</w:t>
      </w:r>
      <w:r w:rsidR="00371E6A" w:rsidRPr="00A56D25">
        <w:rPr>
          <w:sz w:val="22"/>
          <w:szCs w:val="22"/>
          <w:lang w:val="en-US" w:eastAsia="ru-RU"/>
        </w:rPr>
        <w:t xml:space="preserve"> (</w:t>
      </w:r>
      <w:r w:rsidR="00371E6A" w:rsidRPr="00A56D25">
        <w:rPr>
          <w:i/>
          <w:iCs/>
          <w:sz w:val="22"/>
          <w:szCs w:val="22"/>
          <w:lang w:val="en-US" w:eastAsia="ru-RU"/>
        </w:rPr>
        <w:t>p</w:t>
      </w:r>
      <w:r w:rsidR="00371E6A" w:rsidRPr="00A56D25">
        <w:rPr>
          <w:sz w:val="22"/>
          <w:szCs w:val="22"/>
          <w:lang w:val="en-US" w:eastAsia="ru-RU"/>
        </w:rPr>
        <w:t>)).</w:t>
      </w:r>
    </w:p>
    <w:sectPr w:rsidR="004F524F" w:rsidRPr="00A56D25" w:rsidSect="00A56D2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6FB"/>
    <w:rsid w:val="00123360"/>
    <w:rsid w:val="00131796"/>
    <w:rsid w:val="001520FD"/>
    <w:rsid w:val="00176698"/>
    <w:rsid w:val="00195E51"/>
    <w:rsid w:val="00247D89"/>
    <w:rsid w:val="0030026C"/>
    <w:rsid w:val="00371E6A"/>
    <w:rsid w:val="004F524F"/>
    <w:rsid w:val="005056E9"/>
    <w:rsid w:val="00606348"/>
    <w:rsid w:val="00611505"/>
    <w:rsid w:val="006428FC"/>
    <w:rsid w:val="0068202D"/>
    <w:rsid w:val="00712F2F"/>
    <w:rsid w:val="00733E15"/>
    <w:rsid w:val="00842360"/>
    <w:rsid w:val="008C7E6F"/>
    <w:rsid w:val="008D00C0"/>
    <w:rsid w:val="00A56D25"/>
    <w:rsid w:val="00A85421"/>
    <w:rsid w:val="00AE311F"/>
    <w:rsid w:val="00C86D95"/>
    <w:rsid w:val="00CC5BF6"/>
    <w:rsid w:val="00D2390C"/>
    <w:rsid w:val="00ED7B2C"/>
    <w:rsid w:val="00F05A65"/>
    <w:rsid w:val="00F516FB"/>
    <w:rsid w:val="00F9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49075"/>
  <w15:chartTrackingRefBased/>
  <w15:docId w15:val="{AB3FAF0F-BA63-A94D-B7B2-89DC1F1DB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421"/>
    <w:rPr>
      <w:rFonts w:ascii="Times New Roman" w:eastAsia="Times New Roman" w:hAnsi="Times New Roman" w:cs="Times New Roman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16F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516FB"/>
    <w:rPr>
      <w:color w:val="605E5C"/>
      <w:shd w:val="clear" w:color="auto" w:fill="E1DFDD"/>
    </w:rPr>
  </w:style>
  <w:style w:type="table" w:customStyle="1" w:styleId="1">
    <w:name w:val="Сетка таблицы1"/>
    <w:basedOn w:val="a1"/>
    <w:next w:val="a5"/>
    <w:uiPriority w:val="39"/>
    <w:rsid w:val="00A85421"/>
    <w:rPr>
      <w:sz w:val="22"/>
      <w:szCs w:val="22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A8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2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Romanov</dc:creator>
  <cp:keywords/>
  <dc:description/>
  <cp:lastModifiedBy>Yvette</cp:lastModifiedBy>
  <cp:revision>4</cp:revision>
  <dcterms:created xsi:type="dcterms:W3CDTF">2024-05-03T08:26:00Z</dcterms:created>
  <dcterms:modified xsi:type="dcterms:W3CDTF">2024-11-21T00:37:00Z</dcterms:modified>
</cp:coreProperties>
</file>