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ADE" w:rsidRDefault="00AE17D7" w:rsidP="00AE17D7">
      <w:pPr>
        <w:pStyle w:val="Tablecaption"/>
        <w:spacing w:before="326" w:after="326"/>
        <w:rPr>
          <w:bCs/>
          <w:noProof w:val="0"/>
          <w:sz w:val="24"/>
        </w:rPr>
      </w:pPr>
      <w:r w:rsidRPr="00A06CAF">
        <w:rPr>
          <w:bCs/>
        </w:rPr>
        <w:t>Supplementa</w:t>
      </w:r>
      <w:r>
        <w:rPr>
          <w:bCs/>
        </w:rPr>
        <w:t>ry</w:t>
      </w:r>
      <w:r w:rsidR="00951373">
        <w:rPr>
          <w:bCs/>
        </w:rPr>
        <w:t xml:space="preserve"> </w:t>
      </w:r>
      <w:r w:rsidRPr="00A06CAF">
        <w:rPr>
          <w:bCs/>
        </w:rPr>
        <w:t>Table 1.</w:t>
      </w:r>
      <w:r w:rsidRPr="00A06CAF">
        <w:t xml:space="preserve"> The univariate logistic analysis of variables associated with posttransplant ECMO use.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584"/>
        <w:gridCol w:w="1622"/>
        <w:gridCol w:w="2682"/>
        <w:gridCol w:w="1316"/>
      </w:tblGrid>
      <w:tr w:rsidR="00AE17D7" w:rsidRPr="00A06CAF" w:rsidTr="00AE17D7">
        <w:trPr>
          <w:trHeight w:val="255"/>
          <w:jc w:val="center"/>
        </w:trPr>
        <w:tc>
          <w:tcPr>
            <w:tcW w:w="2246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Variable</w:t>
            </w:r>
          </w:p>
        </w:tc>
        <w:tc>
          <w:tcPr>
            <w:tcW w:w="79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Odds Ratio</w:t>
            </w:r>
          </w:p>
        </w:tc>
        <w:tc>
          <w:tcPr>
            <w:tcW w:w="1314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95% confidence intervals</w:t>
            </w:r>
          </w:p>
        </w:tc>
        <w:tc>
          <w:tcPr>
            <w:tcW w:w="64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P value</w:t>
            </w:r>
          </w:p>
        </w:tc>
      </w:tr>
      <w:tr w:rsidR="00AE17D7" w:rsidRPr="00A06CAF" w:rsidTr="00AE17D7">
        <w:trPr>
          <w:trHeight w:val="255"/>
          <w:jc w:val="center"/>
        </w:trPr>
        <w:tc>
          <w:tcPr>
            <w:tcW w:w="224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 xml:space="preserve">Recipient age </w:t>
            </w:r>
            <w:r w:rsidRPr="00A06CAF">
              <w:rPr>
                <w:rFonts w:eastAsia="等线"/>
              </w:rPr>
              <w:t>(years)</w:t>
            </w:r>
          </w:p>
        </w:tc>
        <w:tc>
          <w:tcPr>
            <w:tcW w:w="79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0.985</w:t>
            </w:r>
          </w:p>
        </w:tc>
        <w:tc>
          <w:tcPr>
            <w:tcW w:w="131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0.956-1.014</w:t>
            </w:r>
          </w:p>
        </w:tc>
        <w:tc>
          <w:tcPr>
            <w:tcW w:w="64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0.31</w:t>
            </w:r>
          </w:p>
        </w:tc>
      </w:tr>
      <w:tr w:rsidR="00AE17D7" w:rsidRPr="00A06CAF" w:rsidTr="00AE17D7">
        <w:trPr>
          <w:trHeight w:val="255"/>
          <w:jc w:val="center"/>
        </w:trPr>
        <w:tc>
          <w:tcPr>
            <w:tcW w:w="2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 xml:space="preserve">Recipient height </w:t>
            </w:r>
            <w:r w:rsidRPr="00A06CAF">
              <w:rPr>
                <w:rFonts w:eastAsia="等线"/>
              </w:rPr>
              <w:t>(m)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85.718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0.26-28234.18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0.13</w:t>
            </w:r>
          </w:p>
        </w:tc>
      </w:tr>
      <w:tr w:rsidR="00AE17D7" w:rsidRPr="00A06CAF" w:rsidTr="00AE17D7">
        <w:trPr>
          <w:trHeight w:val="255"/>
          <w:jc w:val="center"/>
        </w:trPr>
        <w:tc>
          <w:tcPr>
            <w:tcW w:w="2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 xml:space="preserve">Recipient weight </w:t>
            </w:r>
            <w:r w:rsidRPr="00A06CAF">
              <w:rPr>
                <w:rFonts w:eastAsia="等线"/>
              </w:rPr>
              <w:t>(</w:t>
            </w:r>
            <w:r w:rsidRPr="00A06CAF">
              <w:rPr>
                <w:rFonts w:eastAsia="等线" w:hint="eastAsia"/>
              </w:rPr>
              <w:t>kg</w:t>
            </w:r>
            <w:r w:rsidRPr="00A06CAF">
              <w:rPr>
                <w:rFonts w:eastAsia="等线"/>
              </w:rPr>
              <w:t>)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1.016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0.985-1.048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0.32</w:t>
            </w:r>
          </w:p>
        </w:tc>
      </w:tr>
      <w:tr w:rsidR="00AE17D7" w:rsidRPr="00A06CAF" w:rsidTr="00AE17D7">
        <w:trPr>
          <w:trHeight w:val="255"/>
          <w:jc w:val="center"/>
        </w:trPr>
        <w:tc>
          <w:tcPr>
            <w:tcW w:w="2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Recipient gender</w:t>
            </w:r>
            <w:r w:rsidRPr="00A06CAF">
              <w:rPr>
                <w:rFonts w:eastAsia="等线"/>
              </w:rPr>
              <w:t xml:space="preserve"> (male) (%)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1.037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0.405-2.658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0.94</w:t>
            </w:r>
          </w:p>
        </w:tc>
      </w:tr>
      <w:tr w:rsidR="00AE17D7" w:rsidRPr="00A06CAF" w:rsidTr="00AE17D7">
        <w:trPr>
          <w:trHeight w:val="255"/>
          <w:jc w:val="center"/>
        </w:trPr>
        <w:tc>
          <w:tcPr>
            <w:tcW w:w="2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 xml:space="preserve">Donor height </w:t>
            </w:r>
            <w:r w:rsidRPr="00A06CAF">
              <w:rPr>
                <w:rFonts w:eastAsia="等线"/>
              </w:rPr>
              <w:t>(m)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181.182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0.074-443261.488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0.19</w:t>
            </w:r>
          </w:p>
        </w:tc>
      </w:tr>
      <w:tr w:rsidR="00AE17D7" w:rsidRPr="00A06CAF" w:rsidTr="00AE17D7">
        <w:trPr>
          <w:trHeight w:val="255"/>
          <w:jc w:val="center"/>
        </w:trPr>
        <w:tc>
          <w:tcPr>
            <w:tcW w:w="2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 xml:space="preserve">Donor weight </w:t>
            </w:r>
            <w:r w:rsidRPr="00A06CAF">
              <w:rPr>
                <w:rFonts w:eastAsia="等线"/>
              </w:rPr>
              <w:t>(kg)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1.036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0.983-1.092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0.18</w:t>
            </w:r>
          </w:p>
        </w:tc>
      </w:tr>
      <w:tr w:rsidR="00AE17D7" w:rsidRPr="00A06CAF" w:rsidTr="00AE17D7">
        <w:trPr>
          <w:trHeight w:val="255"/>
          <w:jc w:val="center"/>
        </w:trPr>
        <w:tc>
          <w:tcPr>
            <w:tcW w:w="2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 xml:space="preserve">Donor age </w:t>
            </w:r>
            <w:r w:rsidRPr="00A06CAF">
              <w:rPr>
                <w:rFonts w:eastAsia="等线"/>
              </w:rPr>
              <w:t>(years)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0.996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0.955-1.039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0.86</w:t>
            </w:r>
          </w:p>
        </w:tc>
      </w:tr>
      <w:tr w:rsidR="00AE17D7" w:rsidRPr="00A06CAF" w:rsidTr="00AE17D7">
        <w:trPr>
          <w:trHeight w:val="255"/>
          <w:jc w:val="center"/>
        </w:trPr>
        <w:tc>
          <w:tcPr>
            <w:tcW w:w="2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Donor gender</w:t>
            </w:r>
            <w:r w:rsidRPr="00A06CAF">
              <w:rPr>
                <w:rFonts w:eastAsia="等线"/>
              </w:rPr>
              <w:t xml:space="preserve"> (male) (%)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0.563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0.161-1.971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0.37</w:t>
            </w:r>
          </w:p>
        </w:tc>
      </w:tr>
      <w:tr w:rsidR="00AE17D7" w:rsidRPr="00A06CAF" w:rsidTr="00AE17D7">
        <w:trPr>
          <w:trHeight w:val="255"/>
          <w:jc w:val="center"/>
        </w:trPr>
        <w:tc>
          <w:tcPr>
            <w:tcW w:w="2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Diabetes</w:t>
            </w:r>
            <w:r w:rsidRPr="00A06CAF">
              <w:rPr>
                <w:rFonts w:eastAsia="等线"/>
              </w:rPr>
              <w:t xml:space="preserve"> (%)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0.266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0.33-2.11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0.21</w:t>
            </w:r>
          </w:p>
        </w:tc>
      </w:tr>
      <w:tr w:rsidR="00AE17D7" w:rsidRPr="00A06CAF" w:rsidTr="00AE17D7">
        <w:trPr>
          <w:trHeight w:val="255"/>
          <w:jc w:val="center"/>
        </w:trPr>
        <w:tc>
          <w:tcPr>
            <w:tcW w:w="2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Previous cardiac surgery</w:t>
            </w:r>
            <w:r w:rsidRPr="00A06CAF">
              <w:rPr>
                <w:rFonts w:eastAsia="等线"/>
              </w:rPr>
              <w:t xml:space="preserve"> (%)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1.5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0.534-4.21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0.44</w:t>
            </w:r>
          </w:p>
        </w:tc>
      </w:tr>
      <w:tr w:rsidR="00AE17D7" w:rsidRPr="00A06CAF" w:rsidTr="00AE17D7">
        <w:trPr>
          <w:trHeight w:val="255"/>
          <w:jc w:val="center"/>
        </w:trPr>
        <w:tc>
          <w:tcPr>
            <w:tcW w:w="2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proofErr w:type="spellStart"/>
            <w:r w:rsidRPr="00A06CAF">
              <w:t>Pretransplant</w:t>
            </w:r>
            <w:proofErr w:type="spellEnd"/>
            <w:r w:rsidRPr="00A06CAF">
              <w:t xml:space="preserve"> use of ARNI</w:t>
            </w:r>
            <w:r w:rsidRPr="00A06CAF">
              <w:rPr>
                <w:rFonts w:eastAsia="等线"/>
              </w:rPr>
              <w:t xml:space="preserve"> (%)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0.418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0.179-0.978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  <w:rPr>
                <w:b/>
                <w:bCs/>
              </w:rPr>
            </w:pPr>
            <w:r w:rsidRPr="00A06CAF">
              <w:rPr>
                <w:b/>
                <w:bCs/>
              </w:rPr>
              <w:t>0.044</w:t>
            </w:r>
          </w:p>
        </w:tc>
      </w:tr>
      <w:tr w:rsidR="00AE17D7" w:rsidRPr="00A06CAF" w:rsidTr="00AE17D7">
        <w:trPr>
          <w:trHeight w:val="255"/>
          <w:jc w:val="center"/>
        </w:trPr>
        <w:tc>
          <w:tcPr>
            <w:tcW w:w="2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proofErr w:type="spellStart"/>
            <w:r w:rsidRPr="00A06CAF">
              <w:t>ACEi</w:t>
            </w:r>
            <w:proofErr w:type="spellEnd"/>
            <w:r w:rsidRPr="00A06CAF">
              <w:t xml:space="preserve">/ARB </w:t>
            </w:r>
            <w:r w:rsidRPr="00A06CAF">
              <w:rPr>
                <w:rFonts w:eastAsia="等线"/>
              </w:rPr>
              <w:t>(%)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rPr>
                <w:rFonts w:hint="eastAsia"/>
              </w:rPr>
              <w:t>0</w:t>
            </w:r>
            <w:r w:rsidRPr="00A06CAF">
              <w:t>.926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0.318-2.695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0.89</w:t>
            </w:r>
          </w:p>
        </w:tc>
      </w:tr>
      <w:tr w:rsidR="00AE17D7" w:rsidRPr="00A06CAF" w:rsidTr="00AE17D7">
        <w:trPr>
          <w:trHeight w:val="263"/>
          <w:jc w:val="center"/>
        </w:trPr>
        <w:tc>
          <w:tcPr>
            <w:tcW w:w="2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rPr>
                <w:rFonts w:ascii="Helvetica" w:hAnsi="Helvetica" w:cs="Helvetica"/>
              </w:rPr>
              <w:t xml:space="preserve">Beta blockers </w:t>
            </w:r>
            <w:r w:rsidRPr="00A06CAF">
              <w:rPr>
                <w:rFonts w:eastAsia="等线"/>
              </w:rPr>
              <w:t>(%)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0.932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0.417-2.083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0.86</w:t>
            </w:r>
          </w:p>
        </w:tc>
      </w:tr>
      <w:tr w:rsidR="00AE17D7" w:rsidRPr="00A06CAF" w:rsidTr="00AE17D7">
        <w:trPr>
          <w:trHeight w:val="255"/>
          <w:jc w:val="center"/>
        </w:trPr>
        <w:tc>
          <w:tcPr>
            <w:tcW w:w="2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rPr>
                <w:rFonts w:eastAsia="等线"/>
              </w:rPr>
              <w:t>Aldosterone receptor antagonists (%)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rPr>
                <w:rFonts w:hint="eastAsia"/>
              </w:rPr>
              <w:t>0</w:t>
            </w:r>
            <w:r w:rsidRPr="00A06CAF">
              <w:t>.633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0.288-1.392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0.26</w:t>
            </w:r>
          </w:p>
        </w:tc>
      </w:tr>
      <w:tr w:rsidR="00AE17D7" w:rsidRPr="00A06CAF" w:rsidTr="00AE17D7">
        <w:trPr>
          <w:trHeight w:val="255"/>
          <w:jc w:val="center"/>
        </w:trPr>
        <w:tc>
          <w:tcPr>
            <w:tcW w:w="2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rPr>
                <w:rFonts w:eastAsia="等线"/>
              </w:rPr>
              <w:t>Sodium-glucose cotransporter-2 inhibitors (%)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0.226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0.029-1.778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0.16</w:t>
            </w:r>
          </w:p>
        </w:tc>
      </w:tr>
      <w:tr w:rsidR="00AE17D7" w:rsidRPr="00A06CAF" w:rsidTr="00AE17D7">
        <w:trPr>
          <w:trHeight w:val="255"/>
          <w:jc w:val="center"/>
        </w:trPr>
        <w:tc>
          <w:tcPr>
            <w:tcW w:w="2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17D7" w:rsidRPr="00A06CAF" w:rsidRDefault="00AE17D7" w:rsidP="00AE17D7">
            <w:pPr>
              <w:pStyle w:val="Tablebody"/>
              <w:rPr>
                <w:rFonts w:eastAsia="等线"/>
              </w:rPr>
            </w:pPr>
            <w:r w:rsidRPr="00A06CAF">
              <w:rPr>
                <w:rFonts w:eastAsia="等线"/>
              </w:rPr>
              <w:t>Dosage of loop diuretics (furosemide mg/day)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17D7" w:rsidRPr="00A06CAF" w:rsidRDefault="00AE17D7" w:rsidP="00AE17D7">
            <w:pPr>
              <w:pStyle w:val="Tablebody"/>
            </w:pPr>
            <w:r w:rsidRPr="00A06CAF">
              <w:rPr>
                <w:rFonts w:hint="eastAsia"/>
              </w:rPr>
              <w:t>0</w:t>
            </w:r>
            <w:r w:rsidRPr="00A06CAF">
              <w:t>.993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17D7" w:rsidRPr="00A06CAF" w:rsidRDefault="00AE17D7" w:rsidP="00AE17D7">
            <w:pPr>
              <w:pStyle w:val="Tablebody"/>
            </w:pPr>
            <w:r w:rsidRPr="00A06CAF">
              <w:rPr>
                <w:rFonts w:hint="eastAsia"/>
              </w:rPr>
              <w:t>0</w:t>
            </w:r>
            <w:r w:rsidRPr="00A06CAF">
              <w:t>.982-1.005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E17D7" w:rsidRPr="00A06CAF" w:rsidRDefault="00AE17D7" w:rsidP="00AE17D7">
            <w:pPr>
              <w:pStyle w:val="Tablebody"/>
            </w:pPr>
            <w:r w:rsidRPr="00A06CAF">
              <w:rPr>
                <w:rFonts w:hint="eastAsia"/>
              </w:rPr>
              <w:t>0</w:t>
            </w:r>
            <w:r w:rsidRPr="00A06CAF">
              <w:t>.25</w:t>
            </w:r>
          </w:p>
        </w:tc>
      </w:tr>
      <w:tr w:rsidR="00AE17D7" w:rsidRPr="00A06CAF" w:rsidTr="00AE17D7">
        <w:trPr>
          <w:trHeight w:val="255"/>
          <w:jc w:val="center"/>
        </w:trPr>
        <w:tc>
          <w:tcPr>
            <w:tcW w:w="2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Left ventricular ejection fraction</w:t>
            </w:r>
            <w:r w:rsidRPr="00A06CAF">
              <w:rPr>
                <w:rFonts w:eastAsia="等线"/>
              </w:rPr>
              <w:t xml:space="preserve"> (%)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0.995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0.965-1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0.75</w:t>
            </w:r>
          </w:p>
        </w:tc>
      </w:tr>
      <w:tr w:rsidR="00AE17D7" w:rsidRPr="00A06CAF" w:rsidTr="00AE17D7">
        <w:trPr>
          <w:trHeight w:val="255"/>
          <w:jc w:val="center"/>
        </w:trPr>
        <w:tc>
          <w:tcPr>
            <w:tcW w:w="2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 xml:space="preserve">Cardiac index </w:t>
            </w:r>
            <w:r w:rsidRPr="00A06CAF">
              <w:rPr>
                <w:rFonts w:eastAsia="等线"/>
              </w:rPr>
              <w:t>(ml/min/m</w:t>
            </w:r>
            <w:r w:rsidRPr="00A06CAF">
              <w:rPr>
                <w:rFonts w:eastAsia="等线"/>
                <w:vertAlign w:val="superscript"/>
              </w:rPr>
              <w:t>2</w:t>
            </w:r>
            <w:r w:rsidRPr="00A06CAF">
              <w:rPr>
                <w:rFonts w:eastAsia="等线"/>
              </w:rPr>
              <w:t>)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1.1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0.784-1.543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0.58</w:t>
            </w:r>
          </w:p>
        </w:tc>
      </w:tr>
      <w:tr w:rsidR="00AE17D7" w:rsidRPr="00A06CAF" w:rsidTr="00AE17D7">
        <w:trPr>
          <w:trHeight w:val="255"/>
          <w:jc w:val="center"/>
        </w:trPr>
        <w:tc>
          <w:tcPr>
            <w:tcW w:w="2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Central venous pressure</w:t>
            </w:r>
            <w:r w:rsidRPr="00A06CAF">
              <w:rPr>
                <w:rFonts w:eastAsia="等线"/>
              </w:rPr>
              <w:t xml:space="preserve"> (mmHg)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1.017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0.979-1.057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0.38</w:t>
            </w:r>
          </w:p>
        </w:tc>
      </w:tr>
      <w:tr w:rsidR="00AE17D7" w:rsidRPr="00A06CAF" w:rsidTr="00AE17D7">
        <w:trPr>
          <w:trHeight w:val="255"/>
          <w:jc w:val="center"/>
        </w:trPr>
        <w:tc>
          <w:tcPr>
            <w:tcW w:w="2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Mean pulmonary artery pressure (&gt;30 mmHg) (%)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2.5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1.055-5.924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  <w:rPr>
                <w:b/>
                <w:bCs/>
              </w:rPr>
            </w:pPr>
            <w:r w:rsidRPr="00A06CAF">
              <w:rPr>
                <w:b/>
                <w:bCs/>
              </w:rPr>
              <w:t>0.037</w:t>
            </w:r>
          </w:p>
        </w:tc>
      </w:tr>
      <w:tr w:rsidR="00AE17D7" w:rsidRPr="00A06CAF" w:rsidTr="00AE17D7">
        <w:trPr>
          <w:trHeight w:val="255"/>
          <w:jc w:val="center"/>
        </w:trPr>
        <w:tc>
          <w:tcPr>
            <w:tcW w:w="2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Pulmonary vascular resistance</w:t>
            </w:r>
            <w:r w:rsidRPr="00A06CAF">
              <w:rPr>
                <w:rFonts w:eastAsia="等线"/>
              </w:rPr>
              <w:t xml:space="preserve"> (Wood unit)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0.986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0.812-1.198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0.89</w:t>
            </w:r>
          </w:p>
        </w:tc>
      </w:tr>
      <w:tr w:rsidR="00AE17D7" w:rsidRPr="00A06CAF" w:rsidTr="00AE17D7">
        <w:trPr>
          <w:trHeight w:val="255"/>
          <w:jc w:val="center"/>
        </w:trPr>
        <w:tc>
          <w:tcPr>
            <w:tcW w:w="2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Cardiopulmonary bypass time (</w:t>
            </w:r>
            <w:proofErr w:type="spellStart"/>
            <w:r w:rsidRPr="00A06CAF">
              <w:t>hr</w:t>
            </w:r>
            <w:proofErr w:type="spellEnd"/>
            <w:r w:rsidRPr="00A06CAF">
              <w:t>)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10.4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3.714-29.120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  <w:rPr>
                <w:b/>
                <w:bCs/>
              </w:rPr>
            </w:pPr>
            <w:r w:rsidRPr="00A06CAF">
              <w:rPr>
                <w:b/>
                <w:bCs/>
              </w:rPr>
              <w:t>&lt;0.001</w:t>
            </w:r>
          </w:p>
        </w:tc>
      </w:tr>
      <w:tr w:rsidR="00AE17D7" w:rsidRPr="00A06CAF" w:rsidTr="00AE17D7">
        <w:trPr>
          <w:trHeight w:val="255"/>
          <w:jc w:val="center"/>
        </w:trPr>
        <w:tc>
          <w:tcPr>
            <w:tcW w:w="224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Ischemic time (&gt;3 hours) (%)</w:t>
            </w:r>
          </w:p>
        </w:tc>
        <w:tc>
          <w:tcPr>
            <w:tcW w:w="79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0.999</w:t>
            </w:r>
          </w:p>
        </w:tc>
        <w:tc>
          <w:tcPr>
            <w:tcW w:w="131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0.995-1.002</w:t>
            </w:r>
          </w:p>
        </w:tc>
        <w:tc>
          <w:tcPr>
            <w:tcW w:w="64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0.49</w:t>
            </w:r>
          </w:p>
        </w:tc>
      </w:tr>
      <w:tr w:rsidR="00AE17D7" w:rsidRPr="00A06CAF" w:rsidTr="00AE17D7">
        <w:trPr>
          <w:trHeight w:val="255"/>
          <w:jc w:val="center"/>
        </w:trPr>
        <w:tc>
          <w:tcPr>
            <w:tcW w:w="224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The year of transplant (later than 2017) (%)</w:t>
            </w:r>
          </w:p>
        </w:tc>
        <w:tc>
          <w:tcPr>
            <w:tcW w:w="79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0.771</w:t>
            </w:r>
          </w:p>
        </w:tc>
        <w:tc>
          <w:tcPr>
            <w:tcW w:w="131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0.258-2.31</w:t>
            </w:r>
          </w:p>
        </w:tc>
        <w:tc>
          <w:tcPr>
            <w:tcW w:w="64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17D7" w:rsidRPr="00A06CAF" w:rsidRDefault="00AE17D7" w:rsidP="00AE17D7">
            <w:pPr>
              <w:pStyle w:val="Tablebody"/>
            </w:pPr>
            <w:r w:rsidRPr="00A06CAF">
              <w:t>0.64</w:t>
            </w:r>
          </w:p>
        </w:tc>
      </w:tr>
      <w:tr w:rsidR="00AE17D7" w:rsidRPr="00A06CAF" w:rsidTr="00AE17D7">
        <w:trPr>
          <w:trHeight w:val="255"/>
          <w:jc w:val="center"/>
        </w:trPr>
        <w:tc>
          <w:tcPr>
            <w:tcW w:w="2246" w:type="pct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AE17D7" w:rsidRPr="00A06CAF" w:rsidRDefault="00AE17D7" w:rsidP="00AE17D7">
            <w:pPr>
              <w:pStyle w:val="Tablebody"/>
            </w:pPr>
            <w:r w:rsidRPr="00A06CAF">
              <w:t>Nitric oxide inhalation (%)</w:t>
            </w:r>
          </w:p>
        </w:tc>
        <w:tc>
          <w:tcPr>
            <w:tcW w:w="795" w:type="pct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AE17D7" w:rsidRPr="00A06CAF" w:rsidRDefault="00AE17D7" w:rsidP="00AE17D7">
            <w:pPr>
              <w:pStyle w:val="Tablebody"/>
            </w:pPr>
            <w:r w:rsidRPr="00A06CAF">
              <w:t>2.105</w:t>
            </w:r>
          </w:p>
        </w:tc>
        <w:tc>
          <w:tcPr>
            <w:tcW w:w="1314" w:type="pct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AE17D7" w:rsidRPr="00A06CAF" w:rsidRDefault="00AE17D7" w:rsidP="00AE17D7">
            <w:pPr>
              <w:pStyle w:val="Tablebody"/>
            </w:pPr>
            <w:r w:rsidRPr="00A06CAF">
              <w:t>0.956-4.634</w:t>
            </w:r>
          </w:p>
        </w:tc>
        <w:tc>
          <w:tcPr>
            <w:tcW w:w="645" w:type="pct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AE17D7" w:rsidRPr="00A06CAF" w:rsidRDefault="00AE17D7" w:rsidP="00AE17D7">
            <w:pPr>
              <w:pStyle w:val="Tablebody"/>
            </w:pPr>
            <w:r w:rsidRPr="00A06CAF">
              <w:rPr>
                <w:rFonts w:hint="eastAsia"/>
              </w:rPr>
              <w:t>0</w:t>
            </w:r>
            <w:r w:rsidRPr="00A06CAF">
              <w:t>.065</w:t>
            </w:r>
          </w:p>
        </w:tc>
      </w:tr>
    </w:tbl>
    <w:p w:rsidR="00AE17D7" w:rsidRPr="00AE17D7" w:rsidRDefault="00AE17D7" w:rsidP="00AE17D7">
      <w:pPr>
        <w:pStyle w:val="Tablefooter"/>
        <w:rPr>
          <w:b/>
          <w:bCs/>
          <w:sz w:val="24"/>
          <w:szCs w:val="24"/>
        </w:rPr>
      </w:pPr>
      <w:r w:rsidRPr="00A06CAF">
        <w:t>ACEI/ARB, angiotensin-converting enzyme inhibitors/angiotensin II receptor blockers; ARNI, angiotensin receptor-neprilysin inhibitor; ECMO, extracorporeal membrane oxygenation.</w:t>
      </w:r>
    </w:p>
    <w:p w:rsidR="00AE17D7" w:rsidRDefault="00AE17D7" w:rsidP="003C1ADE">
      <w:pPr>
        <w:pStyle w:val="EndNoteBibliography"/>
        <w:rPr>
          <w:b/>
          <w:bCs/>
          <w:noProof w:val="0"/>
          <w:sz w:val="24"/>
          <w:szCs w:val="24"/>
        </w:rPr>
      </w:pPr>
    </w:p>
    <w:p w:rsidR="00AE17D7" w:rsidRPr="00A06CAF" w:rsidRDefault="00AE17D7" w:rsidP="00AE17D7">
      <w:pPr>
        <w:pStyle w:val="Text"/>
        <w:ind w:firstLine="420"/>
        <w:rPr>
          <w:rFonts w:hint="eastAsia"/>
        </w:rPr>
      </w:pPr>
    </w:p>
    <w:p w:rsidR="003C1ADE" w:rsidRDefault="003C1ADE" w:rsidP="003C1ADE">
      <w:pPr>
        <w:pStyle w:val="EndNoteBibliography"/>
        <w:rPr>
          <w:b/>
          <w:bCs/>
          <w:noProof w:val="0"/>
          <w:sz w:val="24"/>
          <w:szCs w:val="24"/>
        </w:rPr>
      </w:pPr>
    </w:p>
    <w:p w:rsidR="00AE17D7" w:rsidRPr="00A06CAF" w:rsidRDefault="00AE17D7" w:rsidP="00AE17D7">
      <w:pPr>
        <w:pStyle w:val="Tablecaption"/>
        <w:spacing w:before="326" w:after="326"/>
        <w:rPr>
          <w:rFonts w:hint="eastAsia"/>
          <w:noProof w:val="0"/>
          <w:sz w:val="24"/>
        </w:rPr>
      </w:pPr>
      <w:r w:rsidRPr="00A06CAF">
        <w:t>Supplementa</w:t>
      </w:r>
      <w:r>
        <w:t xml:space="preserve">ry </w:t>
      </w:r>
      <w:r w:rsidRPr="00A06CAF">
        <w:t>Table 2. Baseline demographics of heart transplant recipients undergoing surgery before and after Year 201</w:t>
      </w:r>
      <w:r w:rsidRPr="00AE17D7">
        <w:t>7</w:t>
      </w:r>
      <w:r w:rsidRPr="00AE17D7">
        <w:rPr>
          <w:rFonts w:eastAsiaTheme="minorEastAsia"/>
        </w:rPr>
        <w:t>.</w:t>
      </w:r>
    </w:p>
    <w:tbl>
      <w:tblPr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4004"/>
        <w:gridCol w:w="2120"/>
        <w:gridCol w:w="2382"/>
        <w:gridCol w:w="1698"/>
      </w:tblGrid>
      <w:tr w:rsidR="003C1ADE" w:rsidRPr="00A06CAF" w:rsidTr="00DB6343">
        <w:trPr>
          <w:trHeight w:val="255"/>
          <w:jc w:val="center"/>
        </w:trPr>
        <w:tc>
          <w:tcPr>
            <w:tcW w:w="1962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t>Variable</w:t>
            </w:r>
          </w:p>
        </w:tc>
        <w:tc>
          <w:tcPr>
            <w:tcW w:w="1039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t>Before 2017 (n = 20)</w:t>
            </w:r>
          </w:p>
        </w:tc>
        <w:tc>
          <w:tcPr>
            <w:tcW w:w="1167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t>After 2017</w:t>
            </w:r>
          </w:p>
          <w:p w:rsidR="003C1ADE" w:rsidRPr="00A06CAF" w:rsidRDefault="003C1ADE" w:rsidP="00DB6343">
            <w:pPr>
              <w:pStyle w:val="Tablebody"/>
            </w:pPr>
            <w:r w:rsidRPr="00A06CAF">
              <w:t>(n = 132)</w:t>
            </w:r>
          </w:p>
        </w:tc>
        <w:tc>
          <w:tcPr>
            <w:tcW w:w="832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t>P value</w:t>
            </w:r>
          </w:p>
        </w:tc>
      </w:tr>
      <w:tr w:rsidR="003C1ADE" w:rsidRPr="00A06CAF" w:rsidTr="00DB6343">
        <w:trPr>
          <w:trHeight w:val="255"/>
          <w:jc w:val="center"/>
        </w:trPr>
        <w:tc>
          <w:tcPr>
            <w:tcW w:w="196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t xml:space="preserve">Recipient age </w:t>
            </w:r>
            <w:r w:rsidRPr="00A06CAF">
              <w:rPr>
                <w:rFonts w:eastAsia="等线"/>
              </w:rPr>
              <w:t>(years)</w:t>
            </w:r>
          </w:p>
        </w:tc>
        <w:tc>
          <w:tcPr>
            <w:tcW w:w="1039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hint="eastAsia"/>
              </w:rPr>
              <w:t>5</w:t>
            </w:r>
            <w:r w:rsidRPr="00A06CAF">
              <w:t>0 (34.5, 59)</w:t>
            </w:r>
          </w:p>
        </w:tc>
        <w:tc>
          <w:tcPr>
            <w:tcW w:w="116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hint="eastAsia"/>
              </w:rPr>
              <w:t>5</w:t>
            </w:r>
            <w:r w:rsidRPr="00A06CAF">
              <w:t>2 (39, 58)</w:t>
            </w:r>
          </w:p>
        </w:tc>
        <w:tc>
          <w:tcPr>
            <w:tcW w:w="83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hint="eastAsia"/>
              </w:rPr>
              <w:t>0</w:t>
            </w:r>
            <w:r w:rsidRPr="00A06CAF">
              <w:t>.97</w:t>
            </w:r>
          </w:p>
        </w:tc>
      </w:tr>
      <w:tr w:rsidR="003C1ADE" w:rsidRPr="00A06CAF" w:rsidTr="00DB6343">
        <w:trPr>
          <w:trHeight w:val="255"/>
          <w:jc w:val="center"/>
        </w:trPr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t xml:space="preserve">Recipient height </w:t>
            </w:r>
            <w:r w:rsidRPr="00A06CAF">
              <w:rPr>
                <w:rFonts w:eastAsia="等线"/>
              </w:rPr>
              <w:t>(m)</w:t>
            </w:r>
          </w:p>
        </w:tc>
        <w:tc>
          <w:tcPr>
            <w:tcW w:w="10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t>1.7</w:t>
            </w:r>
            <w:r w:rsidRPr="00A06CAF">
              <w:rPr>
                <w:rFonts w:eastAsia="等线"/>
              </w:rPr>
              <w:t xml:space="preserve"> ± 0.1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t>1.7</w:t>
            </w:r>
            <w:r w:rsidRPr="00A06CAF">
              <w:rPr>
                <w:rFonts w:eastAsia="等线"/>
              </w:rPr>
              <w:t xml:space="preserve"> ± 0.1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t>0.50</w:t>
            </w:r>
          </w:p>
        </w:tc>
      </w:tr>
      <w:tr w:rsidR="003C1ADE" w:rsidRPr="00A06CAF" w:rsidTr="00DB6343">
        <w:trPr>
          <w:trHeight w:val="255"/>
          <w:jc w:val="center"/>
        </w:trPr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t xml:space="preserve">Recipient weight </w:t>
            </w:r>
            <w:r w:rsidRPr="00A06CAF">
              <w:rPr>
                <w:rFonts w:eastAsia="等线"/>
              </w:rPr>
              <w:t>(kg)</w:t>
            </w:r>
          </w:p>
        </w:tc>
        <w:tc>
          <w:tcPr>
            <w:tcW w:w="10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t>65.8</w:t>
            </w:r>
            <w:r w:rsidRPr="00A06CAF">
              <w:rPr>
                <w:rFonts w:eastAsia="等线"/>
              </w:rPr>
              <w:t xml:space="preserve"> ± 15.1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t>64.8</w:t>
            </w:r>
            <w:r w:rsidRPr="00A06CAF">
              <w:rPr>
                <w:rFonts w:eastAsia="等线"/>
              </w:rPr>
              <w:t xml:space="preserve"> ± 12.1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t>0.73</w:t>
            </w:r>
          </w:p>
        </w:tc>
      </w:tr>
      <w:tr w:rsidR="003C1ADE" w:rsidRPr="00A06CAF" w:rsidTr="00DB6343">
        <w:trPr>
          <w:trHeight w:val="255"/>
          <w:jc w:val="center"/>
        </w:trPr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t>Recipient gender</w:t>
            </w:r>
            <w:r w:rsidRPr="00A06CAF">
              <w:rPr>
                <w:rFonts w:eastAsia="等线"/>
              </w:rPr>
              <w:t xml:space="preserve"> (male) (%)</w:t>
            </w:r>
          </w:p>
        </w:tc>
        <w:tc>
          <w:tcPr>
            <w:tcW w:w="10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hint="eastAsia"/>
              </w:rPr>
              <w:t>1</w:t>
            </w:r>
            <w:r w:rsidRPr="00A06CAF">
              <w:t>6 (80%)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hint="eastAsia"/>
              </w:rPr>
              <w:t>1</w:t>
            </w:r>
            <w:r w:rsidRPr="00A06CAF">
              <w:t>02 (77.3%)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hint="eastAsia"/>
              </w:rPr>
              <w:t>&gt;</w:t>
            </w:r>
            <w:r w:rsidRPr="00A06CAF">
              <w:t>0.99</w:t>
            </w:r>
          </w:p>
        </w:tc>
      </w:tr>
      <w:tr w:rsidR="003C1ADE" w:rsidRPr="00A06CAF" w:rsidTr="00DB6343">
        <w:trPr>
          <w:trHeight w:val="255"/>
          <w:jc w:val="center"/>
        </w:trPr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t xml:space="preserve">Donor height </w:t>
            </w:r>
            <w:r w:rsidRPr="00A06CAF">
              <w:rPr>
                <w:rFonts w:eastAsia="等线"/>
              </w:rPr>
              <w:t>(m)</w:t>
            </w:r>
          </w:p>
        </w:tc>
        <w:tc>
          <w:tcPr>
            <w:tcW w:w="10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t>1.7</w:t>
            </w:r>
            <w:r w:rsidRPr="00A06CAF">
              <w:rPr>
                <w:rFonts w:eastAsia="等线"/>
              </w:rPr>
              <w:t xml:space="preserve"> ± 0.1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t>1.7</w:t>
            </w:r>
            <w:r w:rsidRPr="00A06CAF">
              <w:rPr>
                <w:rFonts w:eastAsia="等线"/>
              </w:rPr>
              <w:t xml:space="preserve"> ± 0.1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t>0.31</w:t>
            </w:r>
          </w:p>
        </w:tc>
      </w:tr>
      <w:tr w:rsidR="003C1ADE" w:rsidRPr="00A06CAF" w:rsidTr="00DB6343">
        <w:trPr>
          <w:trHeight w:val="255"/>
          <w:jc w:val="center"/>
        </w:trPr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lastRenderedPageBreak/>
              <w:t xml:space="preserve">Donor weight </w:t>
            </w:r>
            <w:r w:rsidRPr="00A06CAF">
              <w:rPr>
                <w:rFonts w:eastAsia="等线"/>
              </w:rPr>
              <w:t>(kg)</w:t>
            </w:r>
          </w:p>
        </w:tc>
        <w:tc>
          <w:tcPr>
            <w:tcW w:w="10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t>67.7</w:t>
            </w:r>
            <w:r w:rsidRPr="00A06CAF">
              <w:rPr>
                <w:rFonts w:eastAsia="等线"/>
              </w:rPr>
              <w:t xml:space="preserve"> ± 6.7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t>65.7</w:t>
            </w:r>
            <w:r w:rsidRPr="00A06CAF">
              <w:rPr>
                <w:rFonts w:eastAsia="等线"/>
              </w:rPr>
              <w:t xml:space="preserve"> ± 8.3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t>0.36</w:t>
            </w:r>
          </w:p>
        </w:tc>
      </w:tr>
      <w:tr w:rsidR="003C1ADE" w:rsidRPr="00A06CAF" w:rsidTr="00DB6343">
        <w:trPr>
          <w:trHeight w:val="255"/>
          <w:jc w:val="center"/>
        </w:trPr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t xml:space="preserve">Donor age </w:t>
            </w:r>
            <w:r w:rsidRPr="00A06CAF">
              <w:rPr>
                <w:rFonts w:eastAsia="等线"/>
              </w:rPr>
              <w:t>(years)</w:t>
            </w:r>
          </w:p>
        </w:tc>
        <w:tc>
          <w:tcPr>
            <w:tcW w:w="10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t xml:space="preserve">35.7 </w:t>
            </w:r>
            <w:r w:rsidRPr="00A06CAF">
              <w:rPr>
                <w:rFonts w:eastAsia="等线"/>
              </w:rPr>
              <w:t>± 7.6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t>38.3</w:t>
            </w:r>
            <w:r w:rsidRPr="00A06CAF">
              <w:rPr>
                <w:rFonts w:eastAsia="等线"/>
              </w:rPr>
              <w:t xml:space="preserve"> ± 9.7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t>0.31</w:t>
            </w:r>
          </w:p>
        </w:tc>
      </w:tr>
      <w:tr w:rsidR="003C1ADE" w:rsidRPr="00A06CAF" w:rsidTr="00DB6343">
        <w:trPr>
          <w:trHeight w:val="255"/>
          <w:jc w:val="center"/>
        </w:trPr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t>Donor gender</w:t>
            </w:r>
            <w:r w:rsidRPr="00A06CAF">
              <w:rPr>
                <w:rFonts w:eastAsia="等线"/>
              </w:rPr>
              <w:t xml:space="preserve"> (male) (%), n = 143</w:t>
            </w:r>
          </w:p>
        </w:tc>
        <w:tc>
          <w:tcPr>
            <w:tcW w:w="10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hint="eastAsia"/>
              </w:rPr>
              <w:t>1</w:t>
            </w:r>
            <w:r w:rsidRPr="00A06CAF">
              <w:t>4 (93.3%)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hint="eastAsia"/>
              </w:rPr>
              <w:t>1</w:t>
            </w:r>
            <w:r w:rsidRPr="00A06CAF">
              <w:t>16 (90.6%)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hint="eastAsia"/>
              </w:rPr>
              <w:t>&gt;</w:t>
            </w:r>
            <w:r w:rsidRPr="00A06CAF">
              <w:t>0.99</w:t>
            </w:r>
          </w:p>
        </w:tc>
      </w:tr>
      <w:tr w:rsidR="003C1ADE" w:rsidRPr="00A06CAF" w:rsidTr="00DB6343">
        <w:trPr>
          <w:trHeight w:val="255"/>
          <w:jc w:val="center"/>
        </w:trPr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t>Diabetes</w:t>
            </w:r>
            <w:r w:rsidRPr="00A06CAF">
              <w:rPr>
                <w:rFonts w:eastAsia="等线"/>
              </w:rPr>
              <w:t xml:space="preserve"> (%)</w:t>
            </w:r>
          </w:p>
        </w:tc>
        <w:tc>
          <w:tcPr>
            <w:tcW w:w="10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hint="eastAsia"/>
              </w:rPr>
              <w:t>1</w:t>
            </w:r>
            <w:r w:rsidRPr="00A06CAF">
              <w:t xml:space="preserve"> </w:t>
            </w:r>
            <w:r w:rsidRPr="00A06CAF">
              <w:rPr>
                <w:rFonts w:hint="eastAsia"/>
              </w:rPr>
              <w:t>(</w:t>
            </w:r>
            <w:r w:rsidRPr="00A06CAF">
              <w:t>5.0%)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hint="eastAsia"/>
              </w:rPr>
              <w:t>1</w:t>
            </w:r>
            <w:r w:rsidRPr="00A06CAF">
              <w:t>3 (9.8%)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hint="eastAsia"/>
              </w:rPr>
              <w:t>0</w:t>
            </w:r>
            <w:r w:rsidRPr="00A06CAF">
              <w:t>.70</w:t>
            </w:r>
          </w:p>
        </w:tc>
      </w:tr>
      <w:tr w:rsidR="003C1ADE" w:rsidRPr="00A06CAF" w:rsidTr="00DB6343">
        <w:trPr>
          <w:trHeight w:val="255"/>
          <w:jc w:val="center"/>
        </w:trPr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t>Previous cardiac surgery</w:t>
            </w:r>
            <w:r w:rsidRPr="00A06CAF">
              <w:rPr>
                <w:rFonts w:eastAsia="等线"/>
              </w:rPr>
              <w:t xml:space="preserve"> (%)</w:t>
            </w:r>
          </w:p>
        </w:tc>
        <w:tc>
          <w:tcPr>
            <w:tcW w:w="10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hint="eastAsia"/>
              </w:rPr>
              <w:t>1</w:t>
            </w:r>
            <w:r w:rsidRPr="00A06CAF">
              <w:t xml:space="preserve"> (5.0%)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hint="eastAsia"/>
              </w:rPr>
              <w:t>2</w:t>
            </w:r>
            <w:r w:rsidRPr="00A06CAF">
              <w:t>1 (15.9%)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hint="eastAsia"/>
              </w:rPr>
              <w:t>0</w:t>
            </w:r>
            <w:r w:rsidRPr="00A06CAF">
              <w:t>.31</w:t>
            </w:r>
          </w:p>
        </w:tc>
      </w:tr>
      <w:tr w:rsidR="003C1ADE" w:rsidRPr="00A06CAF" w:rsidTr="00DB6343">
        <w:trPr>
          <w:trHeight w:val="255"/>
          <w:jc w:val="center"/>
        </w:trPr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proofErr w:type="spellStart"/>
            <w:r w:rsidRPr="00A06CAF">
              <w:t>Pretransplant</w:t>
            </w:r>
            <w:proofErr w:type="spellEnd"/>
            <w:r w:rsidRPr="00A06CAF">
              <w:t xml:space="preserve"> use of ARNI</w:t>
            </w:r>
            <w:r w:rsidRPr="00A06CAF">
              <w:rPr>
                <w:rFonts w:eastAsia="等线"/>
              </w:rPr>
              <w:t xml:space="preserve"> (%)</w:t>
            </w:r>
          </w:p>
        </w:tc>
        <w:tc>
          <w:tcPr>
            <w:tcW w:w="10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hint="eastAsia"/>
              </w:rPr>
              <w:t>1</w:t>
            </w:r>
            <w:r w:rsidRPr="00A06CAF">
              <w:t xml:space="preserve"> (5.0%)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hint="eastAsia"/>
              </w:rPr>
              <w:t>6</w:t>
            </w:r>
            <w:r w:rsidRPr="00A06CAF">
              <w:t>6 (50.0%)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1ADE" w:rsidRPr="00A06CAF" w:rsidRDefault="003C1ADE" w:rsidP="00DB6343">
            <w:pPr>
              <w:pStyle w:val="Tablebody"/>
              <w:rPr>
                <w:b/>
                <w:bCs/>
              </w:rPr>
            </w:pPr>
            <w:r w:rsidRPr="00A06CAF">
              <w:rPr>
                <w:rFonts w:hint="eastAsia"/>
                <w:b/>
                <w:bCs/>
              </w:rPr>
              <w:t>&lt;</w:t>
            </w:r>
            <w:r w:rsidRPr="00A06CAF">
              <w:rPr>
                <w:b/>
                <w:bCs/>
              </w:rPr>
              <w:t>0.001</w:t>
            </w:r>
          </w:p>
        </w:tc>
      </w:tr>
      <w:tr w:rsidR="003C1ADE" w:rsidRPr="00A06CAF" w:rsidTr="00DB6343">
        <w:trPr>
          <w:trHeight w:val="255"/>
          <w:jc w:val="center"/>
        </w:trPr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proofErr w:type="spellStart"/>
            <w:r w:rsidRPr="00A06CAF">
              <w:t>ACEi</w:t>
            </w:r>
            <w:proofErr w:type="spellEnd"/>
            <w:r w:rsidRPr="00A06CAF">
              <w:t xml:space="preserve">/ARB </w:t>
            </w:r>
            <w:r w:rsidRPr="00A06CAF">
              <w:rPr>
                <w:rFonts w:eastAsia="等线"/>
              </w:rPr>
              <w:t>(%)</w:t>
            </w:r>
          </w:p>
        </w:tc>
        <w:tc>
          <w:tcPr>
            <w:tcW w:w="10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hint="eastAsia"/>
              </w:rPr>
              <w:t>3</w:t>
            </w:r>
            <w:r w:rsidRPr="00A06CAF">
              <w:t xml:space="preserve"> (15.0%)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hint="eastAsia"/>
              </w:rPr>
              <w:t>2</w:t>
            </w:r>
            <w:r w:rsidRPr="00A06CAF">
              <w:t>0 (15.2%)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hint="eastAsia"/>
              </w:rPr>
              <w:t>&gt;</w:t>
            </w:r>
            <w:r w:rsidRPr="00A06CAF">
              <w:t>0.99</w:t>
            </w:r>
          </w:p>
        </w:tc>
      </w:tr>
      <w:tr w:rsidR="003C1ADE" w:rsidRPr="00A06CAF" w:rsidTr="00DB6343">
        <w:trPr>
          <w:trHeight w:val="263"/>
          <w:jc w:val="center"/>
        </w:trPr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ascii="Helvetica" w:hAnsi="Helvetica" w:cs="Helvetica"/>
              </w:rPr>
              <w:t xml:space="preserve">Beta blockers </w:t>
            </w:r>
            <w:r w:rsidRPr="00A06CAF">
              <w:rPr>
                <w:rFonts w:eastAsia="等线"/>
              </w:rPr>
              <w:t>(%)</w:t>
            </w:r>
          </w:p>
        </w:tc>
        <w:tc>
          <w:tcPr>
            <w:tcW w:w="10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hint="eastAsia"/>
              </w:rPr>
              <w:t>8</w:t>
            </w:r>
            <w:r w:rsidRPr="00A06CAF">
              <w:t xml:space="preserve"> (40.0%)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hint="eastAsia"/>
              </w:rPr>
              <w:t>8</w:t>
            </w:r>
            <w:r w:rsidRPr="00A06CAF">
              <w:t>5 (64.4%)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1ADE" w:rsidRPr="00A06CAF" w:rsidRDefault="003C1ADE" w:rsidP="00DB6343">
            <w:pPr>
              <w:pStyle w:val="Tablebody"/>
              <w:rPr>
                <w:b/>
                <w:bCs/>
              </w:rPr>
            </w:pPr>
            <w:r w:rsidRPr="00A06CAF">
              <w:rPr>
                <w:b/>
                <w:bCs/>
              </w:rPr>
              <w:t>0.037</w:t>
            </w:r>
          </w:p>
        </w:tc>
      </w:tr>
      <w:tr w:rsidR="003C1ADE" w:rsidRPr="00A06CAF" w:rsidTr="00DB6343">
        <w:trPr>
          <w:trHeight w:val="255"/>
          <w:jc w:val="center"/>
        </w:trPr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eastAsia="等线"/>
              </w:rPr>
              <w:t>Aldosterone receptor antagonists (%)</w:t>
            </w:r>
          </w:p>
        </w:tc>
        <w:tc>
          <w:tcPr>
            <w:tcW w:w="10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hint="eastAsia"/>
              </w:rPr>
              <w:t>3</w:t>
            </w:r>
            <w:r w:rsidRPr="00A06CAF">
              <w:t xml:space="preserve"> (15.0%)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hint="eastAsia"/>
              </w:rPr>
              <w:t>9</w:t>
            </w:r>
            <w:r w:rsidRPr="00A06CAF">
              <w:t>1 (68.9%)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1ADE" w:rsidRPr="00A06CAF" w:rsidRDefault="003C1ADE" w:rsidP="00DB6343">
            <w:pPr>
              <w:pStyle w:val="Tablebody"/>
              <w:rPr>
                <w:b/>
                <w:bCs/>
              </w:rPr>
            </w:pPr>
            <w:r w:rsidRPr="00A06CAF">
              <w:rPr>
                <w:b/>
                <w:bCs/>
              </w:rPr>
              <w:t>&lt;0.001</w:t>
            </w:r>
          </w:p>
        </w:tc>
      </w:tr>
      <w:tr w:rsidR="003C1ADE" w:rsidRPr="00A06CAF" w:rsidTr="00DB6343">
        <w:trPr>
          <w:trHeight w:val="255"/>
          <w:jc w:val="center"/>
        </w:trPr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eastAsia="等线"/>
              </w:rPr>
              <w:t>Sodium-glucose cotransporter-2 inhibitors (%)</w:t>
            </w:r>
          </w:p>
        </w:tc>
        <w:tc>
          <w:tcPr>
            <w:tcW w:w="10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hint="eastAsia"/>
              </w:rPr>
              <w:t>0</w:t>
            </w:r>
            <w:r w:rsidRPr="00A06CAF">
              <w:t xml:space="preserve"> (0%)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hint="eastAsia"/>
              </w:rPr>
              <w:t>1</w:t>
            </w:r>
            <w:r w:rsidRPr="00A06CAF">
              <w:t>6 (12.1%)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hint="eastAsia"/>
              </w:rPr>
              <w:t>0</w:t>
            </w:r>
            <w:r w:rsidRPr="00A06CAF">
              <w:t>.13</w:t>
            </w:r>
          </w:p>
        </w:tc>
      </w:tr>
      <w:tr w:rsidR="003C1ADE" w:rsidRPr="00A06CAF" w:rsidTr="00DB6343">
        <w:trPr>
          <w:trHeight w:val="255"/>
          <w:jc w:val="center"/>
        </w:trPr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1ADE" w:rsidRPr="00A06CAF" w:rsidRDefault="003C1ADE" w:rsidP="00DB6343">
            <w:pPr>
              <w:pStyle w:val="Tablebody"/>
              <w:rPr>
                <w:rFonts w:eastAsia="等线"/>
              </w:rPr>
            </w:pPr>
            <w:r w:rsidRPr="00A06CAF">
              <w:rPr>
                <w:rFonts w:eastAsia="等线"/>
              </w:rPr>
              <w:t>Loop diuretics (%)</w:t>
            </w:r>
          </w:p>
        </w:tc>
        <w:tc>
          <w:tcPr>
            <w:tcW w:w="10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hint="eastAsia"/>
              </w:rPr>
              <w:t>1</w:t>
            </w:r>
            <w:r w:rsidRPr="00A06CAF">
              <w:t>0 (50.0%)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hint="eastAsia"/>
              </w:rPr>
              <w:t>1</w:t>
            </w:r>
            <w:r w:rsidRPr="00A06CAF">
              <w:t>10 (83.3%)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1ADE" w:rsidRPr="00A06CAF" w:rsidRDefault="003C1ADE" w:rsidP="00DB6343">
            <w:pPr>
              <w:pStyle w:val="Tablebody"/>
              <w:rPr>
                <w:b/>
                <w:bCs/>
              </w:rPr>
            </w:pPr>
            <w:r w:rsidRPr="00A06CAF">
              <w:rPr>
                <w:b/>
                <w:bCs/>
              </w:rPr>
              <w:t>0.002</w:t>
            </w:r>
          </w:p>
        </w:tc>
      </w:tr>
      <w:tr w:rsidR="003C1ADE" w:rsidRPr="00A06CAF" w:rsidTr="00DB6343">
        <w:trPr>
          <w:trHeight w:val="255"/>
          <w:jc w:val="center"/>
        </w:trPr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t>Left ventricular ejection fraction</w:t>
            </w:r>
            <w:r w:rsidRPr="00A06CAF">
              <w:rPr>
                <w:rFonts w:eastAsia="等线"/>
              </w:rPr>
              <w:t xml:space="preserve"> (%)</w:t>
            </w:r>
          </w:p>
        </w:tc>
        <w:tc>
          <w:tcPr>
            <w:tcW w:w="10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hint="eastAsia"/>
              </w:rPr>
              <w:t>2</w:t>
            </w:r>
            <w:r w:rsidRPr="00A06CAF">
              <w:t>8.3</w:t>
            </w:r>
            <w:r w:rsidRPr="00A06CAF">
              <w:rPr>
                <w:rFonts w:eastAsia="等线"/>
              </w:rPr>
              <w:t xml:space="preserve"> ± 13.3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t>32.7</w:t>
            </w:r>
            <w:r w:rsidRPr="00A06CAF">
              <w:rPr>
                <w:rFonts w:eastAsia="等线"/>
              </w:rPr>
              <w:t xml:space="preserve"> ± 13.3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t>0.17</w:t>
            </w:r>
          </w:p>
        </w:tc>
      </w:tr>
      <w:tr w:rsidR="003C1ADE" w:rsidRPr="00A06CAF" w:rsidTr="00DB6343">
        <w:trPr>
          <w:trHeight w:val="255"/>
          <w:jc w:val="center"/>
        </w:trPr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1ADE" w:rsidRPr="00A06CAF" w:rsidRDefault="003C1ADE" w:rsidP="00DB6343">
            <w:pPr>
              <w:pStyle w:val="Tablebody"/>
            </w:pPr>
            <w:r w:rsidRPr="00A06CAF">
              <w:t>Tricuspid annular plane systolic excursion &lt;16mm (%)</w:t>
            </w:r>
          </w:p>
        </w:tc>
        <w:tc>
          <w:tcPr>
            <w:tcW w:w="10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hint="eastAsia"/>
              </w:rPr>
              <w:t>1</w:t>
            </w:r>
            <w:r w:rsidRPr="00A06CAF">
              <w:t>2 (60.0%)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hint="eastAsia"/>
              </w:rPr>
              <w:t>7</w:t>
            </w:r>
            <w:r w:rsidRPr="00A06CAF">
              <w:t>4 (56.1%)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hint="eastAsia"/>
              </w:rPr>
              <w:t>0</w:t>
            </w:r>
            <w:r w:rsidRPr="00A06CAF">
              <w:t>.74</w:t>
            </w:r>
          </w:p>
        </w:tc>
      </w:tr>
      <w:tr w:rsidR="003C1ADE" w:rsidRPr="00A06CAF" w:rsidTr="00DB6343">
        <w:trPr>
          <w:trHeight w:val="255"/>
          <w:jc w:val="center"/>
        </w:trPr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t xml:space="preserve">Cardiac index </w:t>
            </w:r>
            <w:r w:rsidRPr="00A06CAF">
              <w:rPr>
                <w:rFonts w:eastAsia="等线"/>
              </w:rPr>
              <w:t>(ml/min/m</w:t>
            </w:r>
            <w:r w:rsidRPr="00A06CAF">
              <w:rPr>
                <w:rFonts w:eastAsia="等线"/>
                <w:vertAlign w:val="superscript"/>
              </w:rPr>
              <w:t>2</w:t>
            </w:r>
            <w:r w:rsidRPr="00A06CAF">
              <w:rPr>
                <w:rFonts w:eastAsia="等线"/>
              </w:rPr>
              <w:t>)</w:t>
            </w:r>
          </w:p>
        </w:tc>
        <w:tc>
          <w:tcPr>
            <w:tcW w:w="10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hint="eastAsia"/>
              </w:rPr>
              <w:t>2</w:t>
            </w:r>
            <w:r w:rsidRPr="00A06CAF">
              <w:t>.0 (2.0, 4.0)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hint="eastAsia"/>
              </w:rPr>
              <w:t>2</w:t>
            </w:r>
            <w:r w:rsidRPr="00A06CAF">
              <w:t>.0 (2.0, 3.0)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hint="eastAsia"/>
              </w:rPr>
              <w:t>0</w:t>
            </w:r>
            <w:r w:rsidRPr="00A06CAF">
              <w:t>.055</w:t>
            </w:r>
          </w:p>
        </w:tc>
      </w:tr>
      <w:tr w:rsidR="003C1ADE" w:rsidRPr="00A06CAF" w:rsidTr="00DB6343">
        <w:trPr>
          <w:trHeight w:val="255"/>
          <w:jc w:val="center"/>
        </w:trPr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t>Central venous pressure</w:t>
            </w:r>
            <w:r w:rsidRPr="00A06CAF">
              <w:rPr>
                <w:rFonts w:eastAsia="等线"/>
              </w:rPr>
              <w:t xml:space="preserve"> (mmHg)</w:t>
            </w:r>
          </w:p>
        </w:tc>
        <w:tc>
          <w:tcPr>
            <w:tcW w:w="10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hint="eastAsia"/>
              </w:rPr>
              <w:t>1</w:t>
            </w:r>
            <w:r w:rsidRPr="00A06CAF">
              <w:t>1.5 (8.0, 17.0)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hint="eastAsia"/>
              </w:rPr>
              <w:t>1</w:t>
            </w:r>
            <w:r w:rsidRPr="00A06CAF">
              <w:t>2.0 (8.0, 18.0)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hint="eastAsia"/>
              </w:rPr>
              <w:t>0</w:t>
            </w:r>
            <w:r w:rsidRPr="00A06CAF">
              <w:t>.91</w:t>
            </w:r>
          </w:p>
        </w:tc>
      </w:tr>
      <w:tr w:rsidR="003C1ADE" w:rsidRPr="00A06CAF" w:rsidTr="00DB6343">
        <w:trPr>
          <w:trHeight w:val="255"/>
          <w:jc w:val="center"/>
        </w:trPr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t>Mean pulmonary artery pressure (mmHg)</w:t>
            </w:r>
          </w:p>
        </w:tc>
        <w:tc>
          <w:tcPr>
            <w:tcW w:w="10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hint="eastAsia"/>
              </w:rPr>
              <w:t>2</w:t>
            </w:r>
            <w:r w:rsidRPr="00A06CAF">
              <w:t>8.5 (21.0, 40.0)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hint="eastAsia"/>
              </w:rPr>
              <w:t>2</w:t>
            </w:r>
            <w:r w:rsidRPr="00A06CAF">
              <w:t>8.0 (20.0, 36.0)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t>0.69</w:t>
            </w:r>
          </w:p>
        </w:tc>
      </w:tr>
      <w:tr w:rsidR="003C1ADE" w:rsidRPr="00A06CAF" w:rsidTr="00DB6343">
        <w:trPr>
          <w:trHeight w:val="255"/>
          <w:jc w:val="center"/>
        </w:trPr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t>Pulmonary vascular resistance</w:t>
            </w:r>
            <w:r w:rsidRPr="00A06CAF">
              <w:rPr>
                <w:rFonts w:eastAsia="等线"/>
              </w:rPr>
              <w:t xml:space="preserve"> (</w:t>
            </w:r>
            <w:proofErr w:type="spellStart"/>
            <w:r w:rsidRPr="00A06CAF">
              <w:rPr>
                <w:rFonts w:eastAsia="等线"/>
              </w:rPr>
              <w:t>Woodunit</w:t>
            </w:r>
            <w:proofErr w:type="spellEnd"/>
            <w:r w:rsidRPr="00A06CAF">
              <w:rPr>
                <w:rFonts w:eastAsia="等线"/>
              </w:rPr>
              <w:t>)</w:t>
            </w:r>
          </w:p>
        </w:tc>
        <w:tc>
          <w:tcPr>
            <w:tcW w:w="10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hint="eastAsia"/>
              </w:rPr>
              <w:t>4</w:t>
            </w:r>
            <w:r w:rsidRPr="00A06CAF">
              <w:t>.0 (2.0, 4.0)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hint="eastAsia"/>
              </w:rPr>
              <w:t>3</w:t>
            </w:r>
            <w:r w:rsidRPr="00A06CAF">
              <w:t>.0 (2.0, 6.0)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hint="eastAsia"/>
              </w:rPr>
              <w:t>0</w:t>
            </w:r>
            <w:r w:rsidRPr="00A06CAF">
              <w:t>.97</w:t>
            </w:r>
          </w:p>
        </w:tc>
      </w:tr>
      <w:tr w:rsidR="003C1ADE" w:rsidRPr="00A06CAF" w:rsidTr="00DB6343">
        <w:trPr>
          <w:trHeight w:val="255"/>
          <w:jc w:val="center"/>
        </w:trPr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eastAsia="等线"/>
              </w:rPr>
              <w:t>Ischemic time (min)</w:t>
            </w:r>
          </w:p>
        </w:tc>
        <w:tc>
          <w:tcPr>
            <w:tcW w:w="10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hint="eastAsia"/>
              </w:rPr>
              <w:t>2</w:t>
            </w:r>
            <w:r w:rsidRPr="00A06CAF">
              <w:t xml:space="preserve">63.5 </w:t>
            </w:r>
            <w:r w:rsidRPr="00A06CAF">
              <w:rPr>
                <w:rFonts w:eastAsia="等线"/>
              </w:rPr>
              <w:t>± 110.6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hint="eastAsia"/>
              </w:rPr>
              <w:t>2</w:t>
            </w:r>
            <w:r w:rsidRPr="00A06CAF">
              <w:t xml:space="preserve">48.0 </w:t>
            </w:r>
            <w:r w:rsidRPr="00A06CAF">
              <w:rPr>
                <w:rFonts w:eastAsia="等线"/>
              </w:rPr>
              <w:t>± 104.9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1ADE" w:rsidRPr="00A06CAF" w:rsidRDefault="003C1ADE" w:rsidP="00DB6343">
            <w:pPr>
              <w:pStyle w:val="Tablebody"/>
            </w:pPr>
            <w:r w:rsidRPr="00A06CAF">
              <w:t>0.54</w:t>
            </w:r>
          </w:p>
        </w:tc>
      </w:tr>
      <w:tr w:rsidR="003C1ADE" w:rsidRPr="00A06CAF" w:rsidTr="00DB6343">
        <w:trPr>
          <w:trHeight w:val="255"/>
          <w:jc w:val="center"/>
        </w:trPr>
        <w:tc>
          <w:tcPr>
            <w:tcW w:w="196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t>Cardiopulmonary bypass time (min)</w:t>
            </w:r>
          </w:p>
        </w:tc>
        <w:tc>
          <w:tcPr>
            <w:tcW w:w="10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hint="eastAsia"/>
              </w:rPr>
              <w:t>1</w:t>
            </w:r>
            <w:r w:rsidRPr="00A06CAF">
              <w:t xml:space="preserve">79.1 </w:t>
            </w:r>
            <w:r w:rsidRPr="00A06CAF">
              <w:rPr>
                <w:rFonts w:eastAsia="等线"/>
              </w:rPr>
              <w:t>± 58.7</w:t>
            </w:r>
          </w:p>
        </w:tc>
        <w:tc>
          <w:tcPr>
            <w:tcW w:w="116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t xml:space="preserve">186.9 </w:t>
            </w:r>
            <w:r w:rsidRPr="00A06CAF">
              <w:rPr>
                <w:rFonts w:eastAsia="等线"/>
              </w:rPr>
              <w:t>± 76.1</w:t>
            </w:r>
          </w:p>
        </w:tc>
        <w:tc>
          <w:tcPr>
            <w:tcW w:w="83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1ADE" w:rsidRPr="00A06CAF" w:rsidRDefault="003C1ADE" w:rsidP="00DB6343">
            <w:pPr>
              <w:pStyle w:val="Tablebody"/>
            </w:pPr>
            <w:r w:rsidRPr="00A06CAF">
              <w:t>0.66</w:t>
            </w:r>
          </w:p>
        </w:tc>
      </w:tr>
      <w:tr w:rsidR="003C1ADE" w:rsidRPr="00A06CAF" w:rsidTr="00DB6343">
        <w:trPr>
          <w:trHeight w:val="255"/>
          <w:jc w:val="center"/>
        </w:trPr>
        <w:tc>
          <w:tcPr>
            <w:tcW w:w="1962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3C1ADE" w:rsidRPr="00A06CAF" w:rsidRDefault="003C1ADE" w:rsidP="00DB6343">
            <w:pPr>
              <w:pStyle w:val="Tablebody"/>
            </w:pPr>
            <w:r w:rsidRPr="00A06CAF">
              <w:t>Nitric oxide inhalation (%)</w:t>
            </w:r>
          </w:p>
        </w:tc>
        <w:tc>
          <w:tcPr>
            <w:tcW w:w="1039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hint="eastAsia"/>
              </w:rPr>
              <w:t>4</w:t>
            </w:r>
            <w:r w:rsidRPr="00A06CAF">
              <w:t xml:space="preserve"> (20.0%)</w:t>
            </w:r>
          </w:p>
        </w:tc>
        <w:tc>
          <w:tcPr>
            <w:tcW w:w="1167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hint="eastAsia"/>
              </w:rPr>
              <w:t>5</w:t>
            </w:r>
            <w:r w:rsidRPr="00A06CAF">
              <w:t>5 (41.7%)</w:t>
            </w:r>
          </w:p>
        </w:tc>
        <w:tc>
          <w:tcPr>
            <w:tcW w:w="832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hint="eastAsia"/>
              </w:rPr>
              <w:t>0</w:t>
            </w:r>
            <w:r w:rsidRPr="00A06CAF">
              <w:t>.064</w:t>
            </w:r>
          </w:p>
        </w:tc>
      </w:tr>
      <w:tr w:rsidR="003C1ADE" w:rsidRPr="00A06CAF" w:rsidTr="00DB6343">
        <w:trPr>
          <w:trHeight w:val="255"/>
          <w:jc w:val="center"/>
        </w:trPr>
        <w:tc>
          <w:tcPr>
            <w:tcW w:w="1962" w:type="pct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hint="eastAsia"/>
              </w:rPr>
              <w:t>E</w:t>
            </w:r>
            <w:r w:rsidRPr="00A06CAF">
              <w:t>CMO support (%)</w:t>
            </w:r>
          </w:p>
        </w:tc>
        <w:tc>
          <w:tcPr>
            <w:tcW w:w="1039" w:type="pct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hint="eastAsia"/>
              </w:rPr>
              <w:t>5</w:t>
            </w:r>
            <w:r w:rsidRPr="00A06CAF">
              <w:t xml:space="preserve"> (25.0%)</w:t>
            </w:r>
          </w:p>
        </w:tc>
        <w:tc>
          <w:tcPr>
            <w:tcW w:w="1167" w:type="pct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hint="eastAsia"/>
              </w:rPr>
              <w:t>2</w:t>
            </w:r>
            <w:r w:rsidRPr="00A06CAF">
              <w:t>7 (20.5%)</w:t>
            </w:r>
          </w:p>
        </w:tc>
        <w:tc>
          <w:tcPr>
            <w:tcW w:w="832" w:type="pct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3C1ADE" w:rsidRPr="00A06CAF" w:rsidRDefault="003C1ADE" w:rsidP="00DB6343">
            <w:pPr>
              <w:pStyle w:val="Tablebody"/>
            </w:pPr>
            <w:r w:rsidRPr="00A06CAF">
              <w:rPr>
                <w:rFonts w:hint="eastAsia"/>
              </w:rPr>
              <w:t>0</w:t>
            </w:r>
            <w:r w:rsidRPr="00A06CAF">
              <w:t>.77</w:t>
            </w:r>
          </w:p>
        </w:tc>
      </w:tr>
    </w:tbl>
    <w:p w:rsidR="006373EF" w:rsidRDefault="00DB6343" w:rsidP="00DB6343">
      <w:pPr>
        <w:pStyle w:val="Tablefooter"/>
      </w:pPr>
      <w:r w:rsidRPr="00A06CAF">
        <w:t>ACEI/ARB, angiotensin-converting enzyme inhibitors/angiotensin II receptor blockers; ARNI, angiotensin receptor-</w:t>
      </w:r>
      <w:proofErr w:type="spellStart"/>
      <w:r w:rsidRPr="00A06CAF">
        <w:t>neprilysin</w:t>
      </w:r>
      <w:proofErr w:type="spellEnd"/>
      <w:r w:rsidRPr="00A06CAF">
        <w:t xml:space="preserve"> inhibitor; ECMO, extracorporeal membrane oxygenation.</w:t>
      </w:r>
    </w:p>
    <w:p w:rsidR="003C1ADE" w:rsidRDefault="003C1ADE">
      <w:pPr>
        <w:ind w:firstLine="420"/>
      </w:pPr>
    </w:p>
    <w:p w:rsidR="00DB6343" w:rsidRDefault="00A84CA9" w:rsidP="00A84CA9">
      <w:pPr>
        <w:pStyle w:val="Figure"/>
        <w:rPr>
          <w:rFonts w:ascii="Arial" w:hAnsi="Arial" w:cs="Arial"/>
          <w:b/>
          <w:bCs/>
          <w:color w:val="FF0000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486137F7" wp14:editId="54ACD439">
            <wp:extent cx="5278120" cy="3294380"/>
            <wp:effectExtent l="0" t="0" r="0" b="1270"/>
            <wp:docPr id="14974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7417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294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C1ADE" w:rsidRPr="00A84CA9">
        <w:drawing>
          <wp:inline distT="0" distB="0" distL="0" distR="0" wp14:anchorId="0E7C8399" wp14:editId="59D1458B">
            <wp:extent cx="5278120" cy="4410075"/>
            <wp:effectExtent l="0" t="0" r="0" b="9525"/>
            <wp:docPr id="176090528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090528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441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1ADE" w:rsidRPr="00712D6C" w:rsidRDefault="003C1ADE" w:rsidP="00A84CA9">
      <w:pPr>
        <w:pStyle w:val="Figurecaption"/>
        <w:rPr>
          <w:b/>
          <w:bCs/>
        </w:rPr>
      </w:pPr>
      <w:r w:rsidRPr="00712D6C">
        <w:rPr>
          <w:b/>
          <w:bCs/>
        </w:rPr>
        <w:t>Supplement</w:t>
      </w:r>
      <w:r w:rsidRPr="00A84CA9">
        <w:rPr>
          <w:b/>
          <w:bCs/>
        </w:rPr>
        <w:t>a</w:t>
      </w:r>
      <w:r w:rsidR="00A84CA9" w:rsidRPr="00A84CA9">
        <w:rPr>
          <w:rFonts w:eastAsiaTheme="minorEastAsia"/>
          <w:b/>
          <w:bCs/>
          <w:lang w:eastAsia="zh-CN"/>
        </w:rPr>
        <w:t>ry</w:t>
      </w:r>
      <w:r w:rsidRPr="00A84CA9">
        <w:rPr>
          <w:b/>
          <w:bCs/>
        </w:rPr>
        <w:t xml:space="preserve"> F</w:t>
      </w:r>
      <w:r w:rsidRPr="00712D6C">
        <w:rPr>
          <w:b/>
          <w:bCs/>
        </w:rPr>
        <w:t>ig</w:t>
      </w:r>
      <w:r w:rsidR="00A84CA9">
        <w:rPr>
          <w:b/>
          <w:bCs/>
        </w:rPr>
        <w:t>.</w:t>
      </w:r>
      <w:r w:rsidRPr="00712D6C">
        <w:rPr>
          <w:b/>
          <w:bCs/>
        </w:rPr>
        <w:t xml:space="preserve"> 1. </w:t>
      </w:r>
      <w:r w:rsidRPr="00712D6C">
        <w:t xml:space="preserve">Kaplan–Meier survival curves between unmatched (A) and matched (B) </w:t>
      </w:r>
      <w:proofErr w:type="spellStart"/>
      <w:r w:rsidRPr="00712D6C">
        <w:t>HTx</w:t>
      </w:r>
      <w:proofErr w:type="spellEnd"/>
      <w:r w:rsidRPr="00712D6C">
        <w:t xml:space="preserve"> recipients with and without </w:t>
      </w:r>
      <w:proofErr w:type="spellStart"/>
      <w:r w:rsidRPr="00712D6C">
        <w:t>pretransplant</w:t>
      </w:r>
      <w:proofErr w:type="spellEnd"/>
      <w:r w:rsidRPr="00712D6C">
        <w:t xml:space="preserve"> ARNI therapy.</w:t>
      </w:r>
      <w:bookmarkStart w:id="0" w:name="_GoBack"/>
      <w:bookmarkEnd w:id="0"/>
    </w:p>
    <w:p w:rsidR="003C1ADE" w:rsidRPr="003C1ADE" w:rsidRDefault="003C1ADE">
      <w:pPr>
        <w:ind w:firstLine="420"/>
      </w:pPr>
    </w:p>
    <w:sectPr w:rsidR="003C1ADE" w:rsidRPr="003C1ADE" w:rsidSect="00AE17D7">
      <w:pgSz w:w="11906" w:h="16838"/>
      <w:pgMar w:top="1134" w:right="851" w:bottom="1134" w:left="851" w:header="283" w:footer="1134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60F7" w:rsidRDefault="004660F7" w:rsidP="003C1ADE">
      <w:r>
        <w:separator/>
      </w:r>
    </w:p>
  </w:endnote>
  <w:endnote w:type="continuationSeparator" w:id="0">
    <w:p w:rsidR="004660F7" w:rsidRDefault="004660F7" w:rsidP="003C1A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60F7" w:rsidRDefault="004660F7" w:rsidP="003C1ADE">
      <w:r>
        <w:separator/>
      </w:r>
    </w:p>
  </w:footnote>
  <w:footnote w:type="continuationSeparator" w:id="0">
    <w:p w:rsidR="004660F7" w:rsidRDefault="004660F7" w:rsidP="003C1A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B468F5"/>
    <w:multiLevelType w:val="hybridMultilevel"/>
    <w:tmpl w:val="658299A2"/>
    <w:lvl w:ilvl="0" w:tplc="CE24E69A">
      <w:start w:val="1"/>
      <w:numFmt w:val="bullet"/>
      <w:lvlRestart w:val="0"/>
      <w:pStyle w:val="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2173DC"/>
    <w:multiLevelType w:val="hybridMultilevel"/>
    <w:tmpl w:val="184EDD5C"/>
    <w:lvl w:ilvl="0" w:tplc="6C4ADA66">
      <w:start w:val="1"/>
      <w:numFmt w:val="decimal"/>
      <w:lvlRestart w:val="0"/>
      <w:lvlText w:val="%1."/>
      <w:lvlJc w:val="left"/>
      <w:pPr>
        <w:ind w:left="425" w:hanging="425"/>
      </w:pPr>
      <w:rPr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0"/>
  </w:num>
  <w:num w:numId="4">
    <w:abstractNumId w:val="1"/>
  </w:num>
  <w:num w:numId="5">
    <w:abstractNumId w:val="0"/>
  </w:num>
  <w:num w:numId="6">
    <w:abstractNumId w:val="1"/>
  </w:num>
  <w:num w:numId="7">
    <w:abstractNumId w:val="0"/>
  </w:num>
  <w:num w:numId="8">
    <w:abstractNumId w:val="0"/>
  </w:num>
  <w:num w:numId="9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stylePaneFormatFilter w:val="F824" w:allStyles="0" w:customStyles="0" w:latentStyles="1" w:stylesInUse="0" w:headingStyles="1" w:numberingStyles="0" w:tableStyles="0" w:directFormattingOnRuns="0" w:directFormattingOnParagraphs="0" w:directFormattingOnNumbering="0" w:directFormattingOnTables="1" w:clearFormatting="1" w:top3HeadingStyles="1" w:visibleStyles="1" w:alternateStyleNames="1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5458"/>
    <w:rsid w:val="00006680"/>
    <w:rsid w:val="000877FC"/>
    <w:rsid w:val="000C10C2"/>
    <w:rsid w:val="000F567D"/>
    <w:rsid w:val="000F60B7"/>
    <w:rsid w:val="001412CD"/>
    <w:rsid w:val="00152EA0"/>
    <w:rsid w:val="001A0711"/>
    <w:rsid w:val="002B6333"/>
    <w:rsid w:val="00304C1C"/>
    <w:rsid w:val="003370A1"/>
    <w:rsid w:val="003C1ADE"/>
    <w:rsid w:val="00415F84"/>
    <w:rsid w:val="00441AD2"/>
    <w:rsid w:val="004660F7"/>
    <w:rsid w:val="004E529B"/>
    <w:rsid w:val="00600382"/>
    <w:rsid w:val="006373EF"/>
    <w:rsid w:val="00640B65"/>
    <w:rsid w:val="006624B1"/>
    <w:rsid w:val="0071477E"/>
    <w:rsid w:val="007505E7"/>
    <w:rsid w:val="007745D7"/>
    <w:rsid w:val="007B334F"/>
    <w:rsid w:val="007D0CCC"/>
    <w:rsid w:val="00810132"/>
    <w:rsid w:val="00810C47"/>
    <w:rsid w:val="0083031C"/>
    <w:rsid w:val="00875377"/>
    <w:rsid w:val="00896058"/>
    <w:rsid w:val="0090252B"/>
    <w:rsid w:val="00951373"/>
    <w:rsid w:val="00965AA5"/>
    <w:rsid w:val="00A277B8"/>
    <w:rsid w:val="00A36E11"/>
    <w:rsid w:val="00A479E5"/>
    <w:rsid w:val="00A70FA3"/>
    <w:rsid w:val="00A84CA9"/>
    <w:rsid w:val="00AE17D7"/>
    <w:rsid w:val="00B10CCE"/>
    <w:rsid w:val="00B93363"/>
    <w:rsid w:val="00B94C7F"/>
    <w:rsid w:val="00CB2603"/>
    <w:rsid w:val="00CD267D"/>
    <w:rsid w:val="00D75792"/>
    <w:rsid w:val="00DB6343"/>
    <w:rsid w:val="00E1353C"/>
    <w:rsid w:val="00E16972"/>
    <w:rsid w:val="00E26481"/>
    <w:rsid w:val="00E35458"/>
    <w:rsid w:val="00E470AA"/>
    <w:rsid w:val="00E4715E"/>
    <w:rsid w:val="00E6286C"/>
    <w:rsid w:val="00EB2AB2"/>
    <w:rsid w:val="00F16167"/>
    <w:rsid w:val="00F73AB7"/>
    <w:rsid w:val="00FC6F3C"/>
    <w:rsid w:val="00FE0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71450A"/>
  <w15:chartTrackingRefBased/>
  <w15:docId w15:val="{11A4BD3A-27EF-4A2E-AD0B-2E1881C59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Normal Indent" w:semiHidden="1"/>
    <w:lsdException w:name="footnote text" w:semiHidden="1"/>
    <w:lsdException w:name="annotation text" w:semiHidden="1" w:uiPriority="99" w:qFormat="1"/>
    <w:lsdException w:name="header" w:semiHidden="1" w:uiPriority="99" w:qFormat="1"/>
    <w:lsdException w:name="footer" w:semiHidden="1" w:uiPriority="99" w:qFormat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 w:uiPriority="99" w:qFormat="1"/>
    <w:lsdException w:name="line number" w:semiHidden="1" w:uiPriority="99" w:qFormat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 w:uiPriority="99" w:qFormat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iPriority="99" w:unhideWhenUsed="1"/>
    <w:lsdException w:name="annotation subject" w:semiHidden="1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qFormat="1"/>
    <w:lsdException w:name="Table Theme" w:semiHidden="1" w:unhideWhenUsed="1"/>
    <w:lsdException w:name="Placeholder Text" w:semiHidden="1" w:uiPriority="99" w:qFormat="1"/>
    <w:lsdException w:name="No Spacing" w:semiHidden="1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99"/>
    <w:lsdException w:name="Quote" w:semiHidden="1" w:uiPriority="99"/>
    <w:lsdException w:name="Intense Quote" w:semiHidden="1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1ADE"/>
    <w:pPr>
      <w:widowControl w:val="0"/>
      <w:jc w:val="both"/>
    </w:pPr>
    <w:rPr>
      <w:rFonts w:cstheme="minorBidi"/>
      <w:kern w:val="2"/>
      <w:sz w:val="24"/>
      <w:szCs w:val="22"/>
    </w:rPr>
  </w:style>
  <w:style w:type="paragraph" w:styleId="1">
    <w:name w:val="heading 1"/>
    <w:aliases w:val="Heading level 1"/>
    <w:basedOn w:val="a"/>
    <w:next w:val="a"/>
    <w:link w:val="10"/>
    <w:uiPriority w:val="9"/>
    <w:qFormat/>
    <w:rsid w:val="00A277B8"/>
    <w:pPr>
      <w:keepNext/>
      <w:keepLines/>
      <w:widowControl/>
      <w:adjustRightInd w:val="0"/>
      <w:snapToGrid w:val="0"/>
      <w:spacing w:before="360" w:after="360"/>
      <w:outlineLvl w:val="0"/>
    </w:pPr>
    <w:rPr>
      <w:rFonts w:eastAsia="Times New Roman" w:cs="Times New Roman"/>
      <w:b/>
      <w:bCs/>
      <w:noProof/>
      <w:color w:val="000000"/>
      <w:kern w:val="44"/>
      <w:szCs w:val="24"/>
    </w:rPr>
  </w:style>
  <w:style w:type="paragraph" w:styleId="2">
    <w:name w:val="heading 2"/>
    <w:aliases w:val="Heading level 2"/>
    <w:basedOn w:val="a"/>
    <w:next w:val="a"/>
    <w:link w:val="20"/>
    <w:uiPriority w:val="9"/>
    <w:qFormat/>
    <w:rsid w:val="00A277B8"/>
    <w:pPr>
      <w:keepNext/>
      <w:keepLines/>
      <w:widowControl/>
      <w:adjustRightInd w:val="0"/>
      <w:snapToGrid w:val="0"/>
      <w:spacing w:before="240" w:after="240"/>
      <w:outlineLvl w:val="1"/>
    </w:pPr>
    <w:rPr>
      <w:rFonts w:eastAsia="Times New Roman" w:cs="Times New Roman"/>
      <w:b/>
      <w:bCs/>
      <w:i/>
      <w:noProof/>
      <w:color w:val="000000"/>
      <w:kern w:val="0"/>
      <w:sz w:val="21"/>
      <w:szCs w:val="21"/>
    </w:rPr>
  </w:style>
  <w:style w:type="paragraph" w:styleId="3">
    <w:name w:val="heading 3"/>
    <w:aliases w:val="Heading level 3"/>
    <w:basedOn w:val="a"/>
    <w:next w:val="a"/>
    <w:link w:val="30"/>
    <w:uiPriority w:val="9"/>
    <w:qFormat/>
    <w:rsid w:val="00A277B8"/>
    <w:pPr>
      <w:keepNext/>
      <w:keepLines/>
      <w:widowControl/>
      <w:adjustRightInd w:val="0"/>
      <w:snapToGrid w:val="0"/>
      <w:spacing w:before="160" w:after="160"/>
      <w:outlineLvl w:val="2"/>
    </w:pPr>
    <w:rPr>
      <w:rFonts w:eastAsia="Times New Roman" w:cs="Times New Roman"/>
      <w:bCs/>
      <w:i/>
      <w:noProof/>
      <w:color w:val="000000"/>
      <w:kern w:val="0"/>
      <w:sz w:val="21"/>
      <w:szCs w:val="21"/>
    </w:rPr>
  </w:style>
  <w:style w:type="paragraph" w:styleId="4">
    <w:name w:val="heading 4"/>
    <w:basedOn w:val="a"/>
    <w:next w:val="a"/>
    <w:link w:val="40"/>
    <w:uiPriority w:val="9"/>
    <w:semiHidden/>
    <w:qFormat/>
    <w:rsid w:val="00A479E5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qFormat/>
    <w:rsid w:val="00A479E5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Cs w:val="24"/>
    </w:rPr>
  </w:style>
  <w:style w:type="paragraph" w:styleId="7">
    <w:name w:val="heading 7"/>
    <w:basedOn w:val="a"/>
    <w:next w:val="a"/>
    <w:link w:val="70"/>
    <w:uiPriority w:val="9"/>
    <w:semiHidden/>
    <w:qFormat/>
    <w:rsid w:val="00A479E5"/>
    <w:pPr>
      <w:keepNext/>
      <w:keepLines/>
      <w:spacing w:before="240" w:after="64" w:line="320" w:lineRule="auto"/>
      <w:outlineLvl w:val="6"/>
    </w:pPr>
    <w:rPr>
      <w:rFonts w:asciiTheme="minorHAnsi" w:eastAsiaTheme="minorEastAsia" w:hAnsiTheme="minorHAnsi"/>
      <w:b/>
      <w:bCs/>
      <w:szCs w:val="24"/>
    </w:rPr>
  </w:style>
  <w:style w:type="paragraph" w:styleId="8">
    <w:name w:val="heading 8"/>
    <w:basedOn w:val="a"/>
    <w:next w:val="a"/>
    <w:link w:val="80"/>
    <w:uiPriority w:val="9"/>
    <w:semiHidden/>
    <w:qFormat/>
    <w:rsid w:val="00A479E5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Cs w:val="24"/>
    </w:rPr>
  </w:style>
  <w:style w:type="paragraph" w:styleId="9">
    <w:name w:val="heading 9"/>
    <w:basedOn w:val="a"/>
    <w:next w:val="a"/>
    <w:link w:val="90"/>
    <w:uiPriority w:val="9"/>
    <w:semiHidden/>
    <w:qFormat/>
    <w:rsid w:val="00A479E5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next w:val="a"/>
    <w:uiPriority w:val="5"/>
    <w:qFormat/>
    <w:rsid w:val="00A277B8"/>
    <w:pPr>
      <w:jc w:val="both"/>
    </w:pPr>
    <w:rPr>
      <w:rFonts w:eastAsia="Times New Roman"/>
      <w:color w:val="000000"/>
      <w:sz w:val="21"/>
      <w:szCs w:val="21"/>
      <w:lang w:eastAsia="de-DE" w:bidi="en-US"/>
    </w:rPr>
  </w:style>
  <w:style w:type="paragraph" w:customStyle="1" w:styleId="Academiceditor">
    <w:name w:val="Academic editor"/>
    <w:uiPriority w:val="4"/>
    <w:qFormat/>
    <w:rsid w:val="00A277B8"/>
    <w:pPr>
      <w:jc w:val="both"/>
    </w:pPr>
    <w:rPr>
      <w:rFonts w:eastAsia="Times New Roman"/>
      <w:color w:val="000000"/>
      <w:sz w:val="21"/>
      <w:szCs w:val="21"/>
      <w:lang w:eastAsia="de-DE" w:bidi="en-US"/>
    </w:rPr>
  </w:style>
  <w:style w:type="paragraph" w:customStyle="1" w:styleId="Affiliation">
    <w:name w:val="Affiliation"/>
    <w:uiPriority w:val="3"/>
    <w:qFormat/>
    <w:rsid w:val="00A277B8"/>
    <w:pPr>
      <w:jc w:val="both"/>
    </w:pPr>
    <w:rPr>
      <w:rFonts w:eastAsia="Times New Roman"/>
      <w:color w:val="000000"/>
      <w:sz w:val="21"/>
      <w:szCs w:val="21"/>
      <w:lang w:eastAsia="de-DE" w:bidi="en-US"/>
    </w:rPr>
  </w:style>
  <w:style w:type="paragraph" w:customStyle="1" w:styleId="Articletitle">
    <w:name w:val="Article title"/>
    <w:next w:val="a"/>
    <w:uiPriority w:val="1"/>
    <w:qFormat/>
    <w:rsid w:val="00A277B8"/>
    <w:pPr>
      <w:adjustRightInd w:val="0"/>
      <w:snapToGrid w:val="0"/>
      <w:jc w:val="both"/>
    </w:pPr>
    <w:rPr>
      <w:rFonts w:eastAsia="Times New Roman"/>
      <w:b/>
      <w:snapToGrid w:val="0"/>
      <w:color w:val="000000"/>
      <w:sz w:val="36"/>
      <w:lang w:eastAsia="de-DE" w:bidi="en-US"/>
    </w:rPr>
  </w:style>
  <w:style w:type="paragraph" w:customStyle="1" w:styleId="Articletype">
    <w:name w:val="Article type"/>
    <w:next w:val="a"/>
    <w:qFormat/>
    <w:rsid w:val="00A277B8"/>
    <w:pPr>
      <w:adjustRightInd w:val="0"/>
      <w:snapToGrid w:val="0"/>
    </w:pPr>
    <w:rPr>
      <w:rFonts w:eastAsia="Times New Roman"/>
      <w:i/>
      <w:snapToGrid w:val="0"/>
      <w:color w:val="000000"/>
      <w:szCs w:val="22"/>
      <w:lang w:eastAsia="de-DE" w:bidi="en-US"/>
    </w:rPr>
  </w:style>
  <w:style w:type="paragraph" w:customStyle="1" w:styleId="Authornames">
    <w:name w:val="Authornames"/>
    <w:next w:val="a"/>
    <w:uiPriority w:val="2"/>
    <w:qFormat/>
    <w:rsid w:val="00A277B8"/>
    <w:pPr>
      <w:jc w:val="both"/>
    </w:pPr>
    <w:rPr>
      <w:rFonts w:eastAsia="Times New Roman"/>
      <w:color w:val="000000"/>
      <w:sz w:val="21"/>
      <w:szCs w:val="21"/>
      <w:lang w:eastAsia="de-DE" w:bidi="en-US"/>
    </w:rPr>
  </w:style>
  <w:style w:type="paragraph" w:customStyle="1" w:styleId="Backmatter">
    <w:name w:val="Back matter"/>
    <w:uiPriority w:val="18"/>
    <w:qFormat/>
    <w:rsid w:val="00A277B8"/>
    <w:pPr>
      <w:adjustRightInd w:val="0"/>
      <w:snapToGrid w:val="0"/>
      <w:spacing w:beforeLines="50" w:before="50" w:afterLines="50" w:after="50"/>
      <w:jc w:val="both"/>
    </w:pPr>
    <w:rPr>
      <w:rFonts w:eastAsia="Times New Roman"/>
      <w:b/>
      <w:snapToGrid w:val="0"/>
      <w:color w:val="000000"/>
      <w:sz w:val="24"/>
      <w:szCs w:val="24"/>
      <w:lang w:eastAsia="en-US" w:bidi="en-US"/>
    </w:rPr>
  </w:style>
  <w:style w:type="paragraph" w:customStyle="1" w:styleId="Bullet">
    <w:name w:val="Bullet"/>
    <w:uiPriority w:val="16"/>
    <w:qFormat/>
    <w:rsid w:val="00A277B8"/>
    <w:pPr>
      <w:numPr>
        <w:numId w:val="9"/>
      </w:numPr>
      <w:adjustRightInd w:val="0"/>
      <w:snapToGrid w:val="0"/>
      <w:spacing w:before="40" w:after="40"/>
      <w:ind w:hangingChars="200" w:hanging="200"/>
      <w:jc w:val="both"/>
    </w:pPr>
    <w:rPr>
      <w:rFonts w:eastAsia="Times New Roman"/>
      <w:color w:val="000000"/>
      <w:sz w:val="21"/>
      <w:szCs w:val="21"/>
      <w:lang w:eastAsia="de-DE" w:bidi="en-US"/>
    </w:rPr>
  </w:style>
  <w:style w:type="paragraph" w:customStyle="1" w:styleId="E-mail">
    <w:name w:val="E-mail"/>
    <w:link w:val="E-mail0"/>
    <w:uiPriority w:val="4"/>
    <w:qFormat/>
    <w:rsid w:val="00A277B8"/>
    <w:rPr>
      <w:rFonts w:eastAsia="Times New Roman"/>
      <w:snapToGrid w:val="0"/>
      <w:color w:val="000000"/>
      <w:sz w:val="21"/>
      <w:szCs w:val="21"/>
      <w:lang w:eastAsia="de-DE" w:bidi="en-US"/>
    </w:rPr>
  </w:style>
  <w:style w:type="character" w:customStyle="1" w:styleId="E-mail0">
    <w:name w:val="E-mail 字符"/>
    <w:basedOn w:val="a0"/>
    <w:link w:val="E-mail"/>
    <w:uiPriority w:val="4"/>
    <w:rsid w:val="00A277B8"/>
    <w:rPr>
      <w:rFonts w:eastAsia="Times New Roman"/>
      <w:snapToGrid w:val="0"/>
      <w:color w:val="000000"/>
      <w:sz w:val="21"/>
      <w:szCs w:val="21"/>
      <w:lang w:eastAsia="de-DE" w:bidi="en-US"/>
    </w:rPr>
  </w:style>
  <w:style w:type="paragraph" w:customStyle="1" w:styleId="Equation">
    <w:name w:val="Equation"/>
    <w:uiPriority w:val="17"/>
    <w:qFormat/>
    <w:rsid w:val="00A277B8"/>
    <w:pPr>
      <w:adjustRightInd w:val="0"/>
      <w:snapToGrid w:val="0"/>
      <w:spacing w:before="60" w:after="60"/>
      <w:ind w:left="709"/>
      <w:jc w:val="center"/>
    </w:pPr>
    <w:rPr>
      <w:rFonts w:eastAsia="Times New Roman"/>
      <w:snapToGrid w:val="0"/>
      <w:color w:val="000000"/>
      <w:sz w:val="21"/>
      <w:szCs w:val="21"/>
      <w:lang w:eastAsia="de-DE" w:bidi="en-US"/>
    </w:rPr>
  </w:style>
  <w:style w:type="paragraph" w:customStyle="1" w:styleId="Figure">
    <w:name w:val="Figure"/>
    <w:uiPriority w:val="15"/>
    <w:qFormat/>
    <w:rsid w:val="00A277B8"/>
    <w:pPr>
      <w:adjustRightInd w:val="0"/>
      <w:snapToGrid w:val="0"/>
      <w:jc w:val="center"/>
    </w:pPr>
    <w:rPr>
      <w:rFonts w:eastAsia="Times New Roman"/>
      <w:snapToGrid w:val="0"/>
      <w:color w:val="000000"/>
      <w:sz w:val="21"/>
      <w:szCs w:val="21"/>
      <w:lang w:eastAsia="de-DE" w:bidi="en-US"/>
    </w:rPr>
  </w:style>
  <w:style w:type="paragraph" w:customStyle="1" w:styleId="Figurecaption">
    <w:name w:val="Figure caption"/>
    <w:uiPriority w:val="14"/>
    <w:qFormat/>
    <w:rsid w:val="00A277B8"/>
    <w:pPr>
      <w:jc w:val="both"/>
    </w:pPr>
    <w:rPr>
      <w:rFonts w:eastAsia="Times New Roman"/>
      <w:color w:val="000000"/>
      <w:sz w:val="21"/>
      <w:szCs w:val="21"/>
      <w:lang w:eastAsia="de-DE" w:bidi="en-US"/>
    </w:rPr>
  </w:style>
  <w:style w:type="paragraph" w:customStyle="1" w:styleId="Figuretitle">
    <w:name w:val="Figure title"/>
    <w:uiPriority w:val="13"/>
    <w:rsid w:val="00A277B8"/>
    <w:pPr>
      <w:adjustRightInd w:val="0"/>
      <w:snapToGrid w:val="0"/>
      <w:spacing w:after="100" w:afterAutospacing="1"/>
      <w:jc w:val="center"/>
    </w:pPr>
    <w:rPr>
      <w:rFonts w:eastAsia="Times New Roman"/>
      <w:b/>
      <w:noProof/>
      <w:color w:val="000000"/>
      <w:sz w:val="21"/>
      <w:szCs w:val="21"/>
      <w:lang w:bidi="en-US"/>
    </w:rPr>
  </w:style>
  <w:style w:type="paragraph" w:customStyle="1" w:styleId="Keywords">
    <w:name w:val="Keywords"/>
    <w:next w:val="a"/>
    <w:link w:val="Keywords0"/>
    <w:uiPriority w:val="6"/>
    <w:qFormat/>
    <w:rsid w:val="00A277B8"/>
    <w:pPr>
      <w:adjustRightInd w:val="0"/>
      <w:snapToGrid w:val="0"/>
      <w:jc w:val="both"/>
    </w:pPr>
    <w:rPr>
      <w:rFonts w:eastAsia="Times New Roman"/>
      <w:snapToGrid w:val="0"/>
      <w:color w:val="000000"/>
      <w:sz w:val="21"/>
      <w:szCs w:val="21"/>
      <w:lang w:eastAsia="de-DE" w:bidi="en-US"/>
    </w:rPr>
  </w:style>
  <w:style w:type="character" w:customStyle="1" w:styleId="Keywords0">
    <w:name w:val="Keywords 字符"/>
    <w:basedOn w:val="a0"/>
    <w:link w:val="Keywords"/>
    <w:uiPriority w:val="6"/>
    <w:rsid w:val="00A277B8"/>
    <w:rPr>
      <w:rFonts w:eastAsia="Times New Roman"/>
      <w:snapToGrid w:val="0"/>
      <w:color w:val="000000"/>
      <w:sz w:val="21"/>
      <w:szCs w:val="21"/>
      <w:lang w:eastAsia="de-DE" w:bidi="en-US"/>
    </w:rPr>
  </w:style>
  <w:style w:type="paragraph" w:customStyle="1" w:styleId="Reference">
    <w:name w:val="Reference"/>
    <w:link w:val="Reference0"/>
    <w:uiPriority w:val="19"/>
    <w:qFormat/>
    <w:rsid w:val="00A277B8"/>
    <w:pPr>
      <w:ind w:left="200" w:hangingChars="200" w:hanging="200"/>
      <w:jc w:val="both"/>
    </w:pPr>
    <w:rPr>
      <w:rFonts w:eastAsia="Times New Roman"/>
      <w:snapToGrid w:val="0"/>
      <w:color w:val="000000"/>
      <w:sz w:val="18"/>
      <w:szCs w:val="21"/>
      <w:lang w:eastAsia="de-DE" w:bidi="en-US"/>
    </w:rPr>
  </w:style>
  <w:style w:type="character" w:customStyle="1" w:styleId="10">
    <w:name w:val="标题 1 字符"/>
    <w:aliases w:val="Heading level 1 字符"/>
    <w:basedOn w:val="a0"/>
    <w:link w:val="1"/>
    <w:uiPriority w:val="9"/>
    <w:rsid w:val="00A277B8"/>
    <w:rPr>
      <w:rFonts w:eastAsia="Times New Roman"/>
      <w:b/>
      <w:bCs/>
      <w:noProof/>
      <w:color w:val="000000"/>
      <w:kern w:val="44"/>
      <w:sz w:val="24"/>
      <w:szCs w:val="24"/>
    </w:rPr>
  </w:style>
  <w:style w:type="character" w:customStyle="1" w:styleId="20">
    <w:name w:val="标题 2 字符"/>
    <w:aliases w:val="Heading level 2 字符"/>
    <w:basedOn w:val="a0"/>
    <w:link w:val="2"/>
    <w:uiPriority w:val="9"/>
    <w:rsid w:val="00A277B8"/>
    <w:rPr>
      <w:rFonts w:eastAsia="Times New Roman"/>
      <w:b/>
      <w:bCs/>
      <w:i/>
      <w:noProof/>
      <w:color w:val="000000"/>
      <w:sz w:val="21"/>
      <w:szCs w:val="21"/>
    </w:rPr>
  </w:style>
  <w:style w:type="character" w:customStyle="1" w:styleId="30">
    <w:name w:val="标题 3 字符"/>
    <w:aliases w:val="Heading level 3 字符"/>
    <w:basedOn w:val="a0"/>
    <w:link w:val="3"/>
    <w:uiPriority w:val="9"/>
    <w:rsid w:val="00A277B8"/>
    <w:rPr>
      <w:rFonts w:eastAsia="Times New Roman"/>
      <w:bCs/>
      <w:i/>
      <w:noProof/>
      <w:color w:val="000000"/>
      <w:sz w:val="21"/>
      <w:szCs w:val="21"/>
    </w:rPr>
  </w:style>
  <w:style w:type="character" w:customStyle="1" w:styleId="40">
    <w:name w:val="标题 4 字符"/>
    <w:link w:val="4"/>
    <w:uiPriority w:val="9"/>
    <w:semiHidden/>
    <w:rsid w:val="00A479E5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A479E5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A479E5"/>
    <w:rPr>
      <w:rFonts w:asciiTheme="minorHAnsi" w:eastAsiaTheme="minorEastAsia" w:hAnsiTheme="minorHAnsi" w:cstheme="minorBidi"/>
      <w:b/>
      <w:bCs/>
      <w:kern w:val="2"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A479E5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A479E5"/>
    <w:rPr>
      <w:rFonts w:asciiTheme="majorHAnsi" w:eastAsiaTheme="majorEastAsia" w:hAnsiTheme="majorHAnsi" w:cstheme="majorBidi"/>
      <w:kern w:val="2"/>
      <w:sz w:val="21"/>
      <w:szCs w:val="21"/>
    </w:rPr>
  </w:style>
  <w:style w:type="character" w:customStyle="1" w:styleId="Reference0">
    <w:name w:val="Reference 字符"/>
    <w:basedOn w:val="Keywords0"/>
    <w:link w:val="Reference"/>
    <w:uiPriority w:val="19"/>
    <w:rsid w:val="00A277B8"/>
    <w:rPr>
      <w:rFonts w:eastAsia="Times New Roman"/>
      <w:snapToGrid w:val="0"/>
      <w:color w:val="000000"/>
      <w:sz w:val="18"/>
      <w:szCs w:val="21"/>
      <w:lang w:eastAsia="de-DE" w:bidi="en-US"/>
    </w:rPr>
  </w:style>
  <w:style w:type="paragraph" w:customStyle="1" w:styleId="Tablebody">
    <w:name w:val="Table body"/>
    <w:uiPriority w:val="11"/>
    <w:qFormat/>
    <w:rsid w:val="00A277B8"/>
    <w:pPr>
      <w:jc w:val="both"/>
    </w:pPr>
    <w:rPr>
      <w:rFonts w:eastAsia="Times New Roman"/>
      <w:snapToGrid w:val="0"/>
      <w:color w:val="000000"/>
      <w:sz w:val="21"/>
      <w:szCs w:val="21"/>
      <w:lang w:eastAsia="de-DE" w:bidi="en-US"/>
    </w:rPr>
  </w:style>
  <w:style w:type="paragraph" w:customStyle="1" w:styleId="Tablecaption">
    <w:name w:val="Table caption"/>
    <w:uiPriority w:val="11"/>
    <w:qFormat/>
    <w:rsid w:val="00A277B8"/>
    <w:pPr>
      <w:adjustRightInd w:val="0"/>
      <w:snapToGrid w:val="0"/>
      <w:spacing w:beforeLines="100" w:before="100" w:afterLines="100" w:after="100"/>
      <w:jc w:val="center"/>
    </w:pPr>
    <w:rPr>
      <w:rFonts w:eastAsia="Times New Roman"/>
      <w:b/>
      <w:noProof/>
      <w:color w:val="000000"/>
      <w:sz w:val="21"/>
      <w:szCs w:val="24"/>
      <w:lang w:bidi="en-US"/>
    </w:rPr>
  </w:style>
  <w:style w:type="paragraph" w:customStyle="1" w:styleId="Tablefooter">
    <w:name w:val="Table footer"/>
    <w:next w:val="a"/>
    <w:uiPriority w:val="12"/>
    <w:qFormat/>
    <w:rsid w:val="00A277B8"/>
    <w:pPr>
      <w:jc w:val="both"/>
    </w:pPr>
    <w:rPr>
      <w:rFonts w:eastAsia="Times New Roman"/>
      <w:color w:val="000000"/>
      <w:sz w:val="21"/>
      <w:szCs w:val="21"/>
      <w:lang w:eastAsia="de-DE" w:bidi="en-US"/>
    </w:rPr>
  </w:style>
  <w:style w:type="paragraph" w:customStyle="1" w:styleId="Text">
    <w:name w:val="Text"/>
    <w:link w:val="Text0"/>
    <w:uiPriority w:val="10"/>
    <w:qFormat/>
    <w:rsid w:val="00A277B8"/>
    <w:pPr>
      <w:ind w:firstLineChars="200" w:firstLine="200"/>
      <w:jc w:val="both"/>
    </w:pPr>
    <w:rPr>
      <w:rFonts w:eastAsia="Times New Roman"/>
      <w:snapToGrid w:val="0"/>
      <w:color w:val="000000"/>
      <w:sz w:val="21"/>
      <w:szCs w:val="28"/>
      <w:lang w:eastAsia="de-DE" w:bidi="en-US"/>
    </w:rPr>
  </w:style>
  <w:style w:type="character" w:customStyle="1" w:styleId="Text0">
    <w:name w:val="Text 字符"/>
    <w:basedOn w:val="a0"/>
    <w:link w:val="Text"/>
    <w:uiPriority w:val="10"/>
    <w:rsid w:val="00A277B8"/>
    <w:rPr>
      <w:rFonts w:eastAsia="Times New Roman"/>
      <w:snapToGrid w:val="0"/>
      <w:color w:val="000000"/>
      <w:sz w:val="21"/>
      <w:szCs w:val="28"/>
      <w:lang w:eastAsia="de-DE" w:bidi="en-US"/>
    </w:rPr>
  </w:style>
  <w:style w:type="paragraph" w:styleId="a3">
    <w:name w:val="header"/>
    <w:basedOn w:val="a"/>
    <w:link w:val="a4"/>
    <w:uiPriority w:val="99"/>
    <w:semiHidden/>
    <w:qFormat/>
    <w:rsid w:val="003C1A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3C1AD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uiPriority w:val="99"/>
    <w:semiHidden/>
    <w:qFormat/>
    <w:rsid w:val="003C1AD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3C1ADE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EndNoteBibliography">
    <w:name w:val="EndNote Bibliography"/>
    <w:basedOn w:val="a"/>
    <w:link w:val="EndNoteBibliography0"/>
    <w:semiHidden/>
    <w:rsid w:val="003C1ADE"/>
    <w:rPr>
      <w:rFonts w:ascii="Arial" w:hAnsi="Arial" w:cs="Arial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semiHidden/>
    <w:rsid w:val="003C1ADE"/>
    <w:rPr>
      <w:rFonts w:ascii="Arial" w:hAnsi="Arial" w:cs="Arial"/>
      <w:noProof/>
      <w:kern w:val="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自定义 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547</Words>
  <Characters>3123</Characters>
  <Application>Microsoft Office Word</Application>
  <DocSecurity>0</DocSecurity>
  <Lines>26</Lines>
  <Paragraphs>7</Paragraphs>
  <ScaleCrop>false</ScaleCrop>
  <Company/>
  <LinksUpToDate>false</LinksUpToDate>
  <CharactersWithSpaces>3663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sia</dc:creator>
  <cp:keywords/>
  <dc:description/>
  <cp:lastModifiedBy>sia</cp:lastModifiedBy>
  <cp:revision>6</cp:revision>
  <dcterms:created xsi:type="dcterms:W3CDTF">2024-11-11T07:40:00Z</dcterms:created>
  <dcterms:modified xsi:type="dcterms:W3CDTF">2024-11-11T07:43:00Z</dcterms:modified>
</cp:coreProperties>
</file>