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B1A43D" w14:textId="3267005F" w:rsidR="00576CEC" w:rsidRPr="00AA5C2D" w:rsidRDefault="00576CEC" w:rsidP="00FB315D">
      <w:pPr>
        <w:jc w:val="center"/>
        <w:rPr>
          <w:rFonts w:ascii="Times New Roman" w:hAnsi="Times New Roman" w:cs="Times New Roman"/>
          <w:sz w:val="18"/>
          <w:szCs w:val="18"/>
        </w:rPr>
      </w:pPr>
    </w:p>
    <w:p w14:paraId="626D796C" w14:textId="649BFE38" w:rsidR="00FB315D" w:rsidRDefault="004E7AF3" w:rsidP="00FB315D">
      <w:pPr>
        <w:rPr>
          <w:rFonts w:ascii="Times New Roman" w:hAnsi="Times New Roman" w:cs="Times New Roman"/>
          <w:sz w:val="18"/>
          <w:szCs w:val="18"/>
        </w:rPr>
      </w:pPr>
      <w:r w:rsidRPr="004E7AF3">
        <w:rPr>
          <w:rFonts w:ascii="Times New Roman" w:hAnsi="Times New Roman" w:cs="Times New Roman"/>
          <w:sz w:val="18"/>
          <w:szCs w:val="18"/>
        </w:rPr>
        <w:t xml:space="preserve">Supplementary </w:t>
      </w:r>
      <w:r w:rsidR="00FB315D">
        <w:rPr>
          <w:rFonts w:ascii="Times New Roman" w:hAnsi="Times New Roman" w:cs="Times New Roman"/>
          <w:sz w:val="18"/>
          <w:szCs w:val="18"/>
        </w:rPr>
        <w:t>Table</w:t>
      </w:r>
      <w:r>
        <w:rPr>
          <w:rFonts w:ascii="Times New Roman" w:hAnsi="Times New Roman" w:cs="Times New Roman"/>
          <w:sz w:val="18"/>
          <w:szCs w:val="18"/>
        </w:rPr>
        <w:t xml:space="preserve"> </w:t>
      </w:r>
      <w:r w:rsidR="00FB315D">
        <w:rPr>
          <w:rFonts w:ascii="Times New Roman" w:hAnsi="Times New Roman" w:cs="Times New Roman"/>
          <w:sz w:val="18"/>
          <w:szCs w:val="18"/>
        </w:rPr>
        <w:t>1 The regions of interest (</w:t>
      </w:r>
      <w:proofErr w:type="gramStart"/>
      <w:r w:rsidR="00FB315D">
        <w:rPr>
          <w:rFonts w:ascii="Times New Roman" w:hAnsi="Times New Roman" w:cs="Times New Roman"/>
          <w:sz w:val="18"/>
          <w:szCs w:val="18"/>
        </w:rPr>
        <w:t>ROIs)  in</w:t>
      </w:r>
      <w:proofErr w:type="gramEnd"/>
      <w:r w:rsidR="00FB315D">
        <w:rPr>
          <w:rFonts w:ascii="Times New Roman" w:hAnsi="Times New Roman" w:cs="Times New Roman"/>
          <w:sz w:val="18"/>
          <w:szCs w:val="18"/>
        </w:rPr>
        <w:t xml:space="preserve"> this study defined by 84 Brodmann areas in the source localization analysis.</w:t>
      </w:r>
    </w:p>
    <w:tbl>
      <w:tblPr>
        <w:tblStyle w:val="a3"/>
        <w:tblpPr w:leftFromText="180" w:rightFromText="180" w:vertAnchor="page" w:horzAnchor="margin" w:tblpY="3690"/>
        <w:tblW w:w="0" w:type="auto"/>
        <w:tblLook w:val="04A0" w:firstRow="1" w:lastRow="0" w:firstColumn="1" w:lastColumn="0" w:noHBand="0" w:noVBand="1"/>
      </w:tblPr>
      <w:tblGrid>
        <w:gridCol w:w="3256"/>
        <w:gridCol w:w="4536"/>
      </w:tblGrid>
      <w:tr w:rsidR="00D06301" w14:paraId="6A8F6801" w14:textId="77777777" w:rsidTr="00B370E4">
        <w:tc>
          <w:tcPr>
            <w:tcW w:w="3256" w:type="dxa"/>
          </w:tcPr>
          <w:p w14:paraId="1CD8106F" w14:textId="77777777" w:rsidR="00D06301" w:rsidRDefault="00D06301" w:rsidP="00B370E4">
            <w:pPr>
              <w:rPr>
                <w:rFonts w:ascii="Times New Roman" w:hAnsi="Times New Roman" w:cs="Times New Roman"/>
                <w:sz w:val="18"/>
                <w:szCs w:val="18"/>
              </w:rPr>
            </w:pPr>
            <w:r>
              <w:rPr>
                <w:rFonts w:ascii="Times New Roman" w:hAnsi="Times New Roman" w:cs="Times New Roman"/>
                <w:sz w:val="18"/>
                <w:szCs w:val="18"/>
              </w:rPr>
              <w:t>Brain Lobe</w:t>
            </w:r>
          </w:p>
        </w:tc>
        <w:tc>
          <w:tcPr>
            <w:tcW w:w="4536" w:type="dxa"/>
          </w:tcPr>
          <w:p w14:paraId="27FB30E4" w14:textId="77777777" w:rsidR="00D06301" w:rsidRDefault="00D06301" w:rsidP="00B370E4">
            <w:pPr>
              <w:rPr>
                <w:rFonts w:ascii="Times New Roman" w:hAnsi="Times New Roman" w:cs="Times New Roman"/>
                <w:sz w:val="18"/>
                <w:szCs w:val="18"/>
              </w:rPr>
            </w:pPr>
            <w:r>
              <w:rPr>
                <w:rFonts w:ascii="Times New Roman" w:hAnsi="Times New Roman" w:cs="Times New Roman"/>
                <w:sz w:val="18"/>
                <w:szCs w:val="18"/>
              </w:rPr>
              <w:t>Brodmann Areas (Bilateral)</w:t>
            </w:r>
          </w:p>
        </w:tc>
      </w:tr>
      <w:tr w:rsidR="00D06301" w14:paraId="7DB028AB" w14:textId="77777777" w:rsidTr="00B370E4">
        <w:tc>
          <w:tcPr>
            <w:tcW w:w="3256" w:type="dxa"/>
            <w:vAlign w:val="center"/>
          </w:tcPr>
          <w:p w14:paraId="1A95CBA7" w14:textId="77777777" w:rsidR="00D06301" w:rsidRDefault="00D06301" w:rsidP="00B370E4">
            <w:pPr>
              <w:widowControl/>
              <w:jc w:val="left"/>
              <w:rPr>
                <w:rFonts w:ascii="Times New Roman" w:eastAsia="等线" w:hAnsi="Times New Roman" w:cs="Times New Roman"/>
                <w:color w:val="000000"/>
                <w:sz w:val="18"/>
                <w:szCs w:val="18"/>
              </w:rPr>
            </w:pPr>
            <w:r>
              <w:rPr>
                <w:rFonts w:ascii="Times New Roman" w:eastAsia="等线" w:hAnsi="Times New Roman" w:cs="Times New Roman"/>
                <w:color w:val="000000"/>
                <w:sz w:val="18"/>
                <w:szCs w:val="18"/>
              </w:rPr>
              <w:t>Frontal Lobe (22 ROIs)</w:t>
            </w:r>
          </w:p>
        </w:tc>
        <w:tc>
          <w:tcPr>
            <w:tcW w:w="4536" w:type="dxa"/>
          </w:tcPr>
          <w:p w14:paraId="7FB27E9C" w14:textId="77777777" w:rsidR="00D06301" w:rsidRDefault="00D06301" w:rsidP="00B370E4">
            <w:pPr>
              <w:rPr>
                <w:rFonts w:ascii="Times New Roman" w:hAnsi="Times New Roman" w:cs="Times New Roman"/>
                <w:sz w:val="18"/>
                <w:szCs w:val="18"/>
              </w:rPr>
            </w:pPr>
            <w:r>
              <w:rPr>
                <w:rFonts w:ascii="Times New Roman" w:hAnsi="Times New Roman" w:cs="Times New Roman"/>
                <w:sz w:val="18"/>
                <w:szCs w:val="18"/>
              </w:rPr>
              <w:t>4, 6,8,9,10,11,13,44,45,46,47</w:t>
            </w:r>
          </w:p>
        </w:tc>
      </w:tr>
      <w:tr w:rsidR="00D06301" w14:paraId="310DCC9B" w14:textId="77777777" w:rsidTr="00B370E4">
        <w:tc>
          <w:tcPr>
            <w:tcW w:w="3256" w:type="dxa"/>
            <w:vAlign w:val="center"/>
          </w:tcPr>
          <w:p w14:paraId="6A152E04" w14:textId="77777777" w:rsidR="00D06301" w:rsidRDefault="00D06301" w:rsidP="00B370E4">
            <w:pPr>
              <w:rPr>
                <w:rFonts w:ascii="Times New Roman" w:eastAsia="等线" w:hAnsi="Times New Roman" w:cs="Times New Roman"/>
                <w:color w:val="000000"/>
                <w:sz w:val="18"/>
                <w:szCs w:val="18"/>
              </w:rPr>
            </w:pPr>
            <w:r>
              <w:rPr>
                <w:rFonts w:ascii="Times New Roman" w:eastAsia="等线" w:hAnsi="Times New Roman" w:cs="Times New Roman"/>
                <w:color w:val="000000"/>
                <w:sz w:val="18"/>
                <w:szCs w:val="18"/>
              </w:rPr>
              <w:t>Parietal Lobe (16 ROIs)</w:t>
            </w:r>
          </w:p>
        </w:tc>
        <w:tc>
          <w:tcPr>
            <w:tcW w:w="4536" w:type="dxa"/>
          </w:tcPr>
          <w:p w14:paraId="49934012" w14:textId="77777777" w:rsidR="00D06301" w:rsidRDefault="00D06301" w:rsidP="00B370E4">
            <w:pPr>
              <w:rPr>
                <w:rFonts w:ascii="Times New Roman" w:hAnsi="Times New Roman" w:cs="Times New Roman"/>
                <w:sz w:val="18"/>
                <w:szCs w:val="18"/>
              </w:rPr>
            </w:pPr>
            <w:r>
              <w:rPr>
                <w:rFonts w:ascii="Times New Roman" w:hAnsi="Times New Roman" w:cs="Times New Roman"/>
                <w:sz w:val="18"/>
                <w:szCs w:val="18"/>
              </w:rPr>
              <w:t>1,2,3,5,7,39,40,43</w:t>
            </w:r>
          </w:p>
        </w:tc>
      </w:tr>
      <w:tr w:rsidR="00D06301" w14:paraId="1CF5F21B" w14:textId="77777777" w:rsidTr="00B370E4">
        <w:tc>
          <w:tcPr>
            <w:tcW w:w="3256" w:type="dxa"/>
            <w:vAlign w:val="center"/>
          </w:tcPr>
          <w:p w14:paraId="796F1685" w14:textId="77777777" w:rsidR="00D06301" w:rsidRDefault="00D06301" w:rsidP="00B370E4">
            <w:pPr>
              <w:rPr>
                <w:rFonts w:ascii="Times New Roman" w:eastAsia="等线" w:hAnsi="Times New Roman" w:cs="Times New Roman"/>
                <w:color w:val="000000"/>
                <w:sz w:val="18"/>
                <w:szCs w:val="18"/>
              </w:rPr>
            </w:pPr>
            <w:r>
              <w:rPr>
                <w:rFonts w:ascii="Times New Roman" w:eastAsia="等线" w:hAnsi="Times New Roman" w:cs="Times New Roman"/>
                <w:color w:val="000000"/>
                <w:sz w:val="18"/>
                <w:szCs w:val="18"/>
              </w:rPr>
              <w:t>Occipital Lobe (6 ROIs)</w:t>
            </w:r>
          </w:p>
        </w:tc>
        <w:tc>
          <w:tcPr>
            <w:tcW w:w="4536" w:type="dxa"/>
          </w:tcPr>
          <w:p w14:paraId="35BFDFB5" w14:textId="77777777" w:rsidR="00D06301" w:rsidRDefault="00D06301" w:rsidP="00B370E4">
            <w:pPr>
              <w:rPr>
                <w:rFonts w:ascii="Times New Roman" w:hAnsi="Times New Roman" w:cs="Times New Roman"/>
                <w:sz w:val="18"/>
                <w:szCs w:val="18"/>
              </w:rPr>
            </w:pPr>
            <w:r>
              <w:rPr>
                <w:rFonts w:ascii="Times New Roman" w:hAnsi="Times New Roman" w:cs="Times New Roman"/>
                <w:sz w:val="18"/>
                <w:szCs w:val="18"/>
              </w:rPr>
              <w:t>17,18,19</w:t>
            </w:r>
          </w:p>
        </w:tc>
      </w:tr>
      <w:tr w:rsidR="00D06301" w14:paraId="17DE0E2F" w14:textId="77777777" w:rsidTr="00B370E4">
        <w:tc>
          <w:tcPr>
            <w:tcW w:w="3256" w:type="dxa"/>
            <w:vAlign w:val="center"/>
          </w:tcPr>
          <w:p w14:paraId="2255B700" w14:textId="77777777" w:rsidR="00D06301" w:rsidRDefault="00D06301" w:rsidP="00B370E4">
            <w:pPr>
              <w:rPr>
                <w:rFonts w:ascii="Times New Roman" w:eastAsia="等线" w:hAnsi="Times New Roman" w:cs="Times New Roman"/>
                <w:color w:val="000000"/>
                <w:sz w:val="18"/>
                <w:szCs w:val="18"/>
              </w:rPr>
            </w:pPr>
            <w:r>
              <w:rPr>
                <w:rFonts w:ascii="Times New Roman" w:eastAsia="等线" w:hAnsi="Times New Roman" w:cs="Times New Roman"/>
                <w:color w:val="000000"/>
                <w:sz w:val="18"/>
                <w:szCs w:val="18"/>
              </w:rPr>
              <w:t>Temporal Lobe (18 ROIs)</w:t>
            </w:r>
          </w:p>
        </w:tc>
        <w:tc>
          <w:tcPr>
            <w:tcW w:w="4536" w:type="dxa"/>
          </w:tcPr>
          <w:p w14:paraId="4D5A2F86" w14:textId="77777777" w:rsidR="00D06301" w:rsidRDefault="00D06301" w:rsidP="00B370E4">
            <w:pPr>
              <w:rPr>
                <w:rFonts w:ascii="Times New Roman" w:hAnsi="Times New Roman" w:cs="Times New Roman"/>
                <w:sz w:val="18"/>
                <w:szCs w:val="18"/>
              </w:rPr>
            </w:pPr>
            <w:r>
              <w:rPr>
                <w:rFonts w:ascii="Times New Roman" w:hAnsi="Times New Roman" w:cs="Times New Roman"/>
                <w:sz w:val="18"/>
                <w:szCs w:val="18"/>
              </w:rPr>
              <w:t>20,21,22,27,28,37,38,41,42</w:t>
            </w:r>
          </w:p>
        </w:tc>
      </w:tr>
      <w:tr w:rsidR="00D06301" w14:paraId="68B31D77" w14:textId="77777777" w:rsidTr="00B370E4">
        <w:tc>
          <w:tcPr>
            <w:tcW w:w="3256" w:type="dxa"/>
            <w:vAlign w:val="center"/>
          </w:tcPr>
          <w:p w14:paraId="3CD2E722" w14:textId="77777777" w:rsidR="00D06301" w:rsidRDefault="00D06301" w:rsidP="00B370E4">
            <w:pPr>
              <w:rPr>
                <w:rFonts w:ascii="Times New Roman" w:eastAsia="等线" w:hAnsi="Times New Roman" w:cs="Times New Roman"/>
                <w:color w:val="000000"/>
                <w:sz w:val="18"/>
                <w:szCs w:val="18"/>
              </w:rPr>
            </w:pPr>
            <w:r>
              <w:rPr>
                <w:rFonts w:ascii="Times New Roman" w:eastAsia="等线" w:hAnsi="Times New Roman" w:cs="Times New Roman"/>
                <w:color w:val="000000"/>
                <w:sz w:val="18"/>
                <w:szCs w:val="18"/>
              </w:rPr>
              <w:t>Limbic Lobe (12 ROIs)</w:t>
            </w:r>
          </w:p>
        </w:tc>
        <w:tc>
          <w:tcPr>
            <w:tcW w:w="4536" w:type="dxa"/>
          </w:tcPr>
          <w:p w14:paraId="01F9D6D3" w14:textId="77777777" w:rsidR="00D06301" w:rsidRDefault="00D06301" w:rsidP="00B370E4">
            <w:pPr>
              <w:rPr>
                <w:rFonts w:ascii="Times New Roman" w:hAnsi="Times New Roman" w:cs="Times New Roman"/>
                <w:sz w:val="18"/>
                <w:szCs w:val="18"/>
              </w:rPr>
            </w:pPr>
            <w:r>
              <w:rPr>
                <w:rFonts w:ascii="Times New Roman" w:hAnsi="Times New Roman" w:cs="Times New Roman"/>
                <w:sz w:val="18"/>
                <w:szCs w:val="18"/>
              </w:rPr>
              <w:t>31,32,33,34,35,36</w:t>
            </w:r>
          </w:p>
        </w:tc>
      </w:tr>
      <w:tr w:rsidR="00D06301" w14:paraId="6BFB90A2" w14:textId="77777777" w:rsidTr="00B370E4">
        <w:tc>
          <w:tcPr>
            <w:tcW w:w="3256" w:type="dxa"/>
            <w:vAlign w:val="center"/>
          </w:tcPr>
          <w:p w14:paraId="3A7E3CA5" w14:textId="77777777" w:rsidR="00D06301" w:rsidRDefault="00D06301" w:rsidP="00B370E4">
            <w:pPr>
              <w:rPr>
                <w:rFonts w:ascii="Times New Roman" w:eastAsia="等线" w:hAnsi="Times New Roman" w:cs="Times New Roman"/>
                <w:color w:val="000000"/>
                <w:sz w:val="18"/>
                <w:szCs w:val="18"/>
              </w:rPr>
            </w:pPr>
            <w:r>
              <w:rPr>
                <w:rFonts w:ascii="Times New Roman" w:eastAsia="等线" w:hAnsi="Times New Roman" w:cs="Times New Roman"/>
                <w:color w:val="000000"/>
                <w:sz w:val="18"/>
                <w:szCs w:val="18"/>
              </w:rPr>
              <w:t>Sub-lobar (10 ROIs)</w:t>
            </w:r>
          </w:p>
        </w:tc>
        <w:tc>
          <w:tcPr>
            <w:tcW w:w="4536" w:type="dxa"/>
          </w:tcPr>
          <w:p w14:paraId="17E94B54" w14:textId="77777777" w:rsidR="00D06301" w:rsidRDefault="00D06301" w:rsidP="00B370E4">
            <w:pPr>
              <w:rPr>
                <w:rFonts w:ascii="Times New Roman" w:hAnsi="Times New Roman" w:cs="Times New Roman"/>
                <w:sz w:val="18"/>
                <w:szCs w:val="18"/>
              </w:rPr>
            </w:pPr>
            <w:r>
              <w:rPr>
                <w:rFonts w:ascii="Times New Roman" w:hAnsi="Times New Roman" w:cs="Times New Roman"/>
                <w:sz w:val="18"/>
                <w:szCs w:val="18"/>
              </w:rPr>
              <w:t>23,24,25,29,30</w:t>
            </w:r>
          </w:p>
        </w:tc>
      </w:tr>
    </w:tbl>
    <w:p w14:paraId="2CE87CC1" w14:textId="77777777" w:rsidR="002515E8" w:rsidRDefault="002515E8" w:rsidP="00D06301"/>
    <w:p w14:paraId="6E06D326" w14:textId="77777777" w:rsidR="00D06301" w:rsidRDefault="00D06301" w:rsidP="00D06301"/>
    <w:p w14:paraId="16DF4D3F" w14:textId="77777777" w:rsidR="00D06301" w:rsidRPr="00D06301" w:rsidRDefault="00D06301" w:rsidP="00D06301">
      <w:pPr>
        <w:jc w:val="center"/>
        <w:rPr>
          <w:rFonts w:ascii="Times New Roman" w:hAnsi="Times New Roman" w:cs="Times New Roman"/>
          <w:b/>
          <w:bCs/>
          <w:sz w:val="20"/>
          <w:szCs w:val="20"/>
        </w:rPr>
      </w:pPr>
      <w:r w:rsidRPr="00D06301">
        <w:rPr>
          <w:rFonts w:ascii="Times New Roman" w:hAnsi="Times New Roman" w:cs="Times New Roman" w:hint="eastAsia"/>
          <w:b/>
          <w:bCs/>
          <w:sz w:val="20"/>
          <w:szCs w:val="20"/>
        </w:rPr>
        <w:t>Analy</w:t>
      </w:r>
      <w:r w:rsidRPr="00D06301">
        <w:rPr>
          <w:rFonts w:ascii="Times New Roman" w:hAnsi="Times New Roman" w:cs="Times New Roman"/>
          <w:b/>
          <w:bCs/>
          <w:sz w:val="20"/>
          <w:szCs w:val="20"/>
        </w:rPr>
        <w:t>sis based on the 19</w:t>
      </w:r>
      <w:r w:rsidR="004E6823">
        <w:rPr>
          <w:rFonts w:ascii="Times New Roman" w:hAnsi="Times New Roman" w:cs="Times New Roman"/>
          <w:b/>
          <w:bCs/>
          <w:sz w:val="20"/>
          <w:szCs w:val="20"/>
        </w:rPr>
        <w:t xml:space="preserve"> </w:t>
      </w:r>
      <w:r w:rsidR="004E6823">
        <w:rPr>
          <w:rFonts w:ascii="Times New Roman" w:hAnsi="Times New Roman" w:cs="Times New Roman" w:hint="eastAsia"/>
          <w:b/>
          <w:bCs/>
          <w:sz w:val="20"/>
          <w:szCs w:val="20"/>
        </w:rPr>
        <w:t>sca</w:t>
      </w:r>
      <w:r w:rsidR="004E6823">
        <w:rPr>
          <w:rFonts w:ascii="Times New Roman" w:hAnsi="Times New Roman" w:cs="Times New Roman"/>
          <w:b/>
          <w:bCs/>
          <w:sz w:val="20"/>
          <w:szCs w:val="20"/>
        </w:rPr>
        <w:t>lp</w:t>
      </w:r>
      <w:r w:rsidRPr="00D06301">
        <w:rPr>
          <w:rFonts w:ascii="Times New Roman" w:hAnsi="Times New Roman" w:cs="Times New Roman"/>
          <w:b/>
          <w:bCs/>
          <w:sz w:val="20"/>
          <w:szCs w:val="20"/>
        </w:rPr>
        <w:t xml:space="preserve"> </w:t>
      </w:r>
      <w:r w:rsidR="004E6823">
        <w:rPr>
          <w:rFonts w:ascii="Times New Roman" w:hAnsi="Times New Roman" w:cs="Times New Roman"/>
          <w:b/>
          <w:bCs/>
          <w:sz w:val="20"/>
          <w:szCs w:val="20"/>
        </w:rPr>
        <w:t xml:space="preserve">EEG </w:t>
      </w:r>
      <w:r w:rsidRPr="00D06301">
        <w:rPr>
          <w:rFonts w:ascii="Times New Roman" w:hAnsi="Times New Roman" w:cs="Times New Roman"/>
          <w:b/>
          <w:bCs/>
          <w:sz w:val="20"/>
          <w:szCs w:val="20"/>
        </w:rPr>
        <w:t>channels</w:t>
      </w:r>
    </w:p>
    <w:p w14:paraId="0FA327DB" w14:textId="77777777" w:rsidR="00D06301" w:rsidRDefault="00D06301" w:rsidP="00D06301">
      <w:pPr>
        <w:rPr>
          <w:rFonts w:ascii="Times New Roman" w:hAnsi="Times New Roman" w:cs="Times New Roman"/>
          <w:sz w:val="20"/>
          <w:szCs w:val="20"/>
        </w:rPr>
      </w:pPr>
    </w:p>
    <w:p w14:paraId="471DA88B" w14:textId="77777777" w:rsidR="005626B4" w:rsidRDefault="005626B4" w:rsidP="00D06301">
      <w:pPr>
        <w:rPr>
          <w:rFonts w:ascii="Times New Roman" w:hAnsi="Times New Roman" w:cs="Times New Roman"/>
          <w:sz w:val="20"/>
          <w:szCs w:val="20"/>
        </w:rPr>
      </w:pPr>
    </w:p>
    <w:p w14:paraId="06DA312E" w14:textId="77777777" w:rsidR="005626B4" w:rsidRDefault="005626B4" w:rsidP="00D06301">
      <w:pPr>
        <w:rPr>
          <w:rFonts w:ascii="Times New Roman" w:hAnsi="Times New Roman" w:cs="Times New Roman"/>
          <w:sz w:val="20"/>
          <w:szCs w:val="20"/>
        </w:rPr>
      </w:pPr>
    </w:p>
    <w:p w14:paraId="013CB85B" w14:textId="57D7A4CD" w:rsidR="00D06301" w:rsidRDefault="00D06301" w:rsidP="00D06301">
      <w:pPr>
        <w:rPr>
          <w:rFonts w:ascii="Times New Roman" w:hAnsi="Times New Roman" w:cs="Times New Roman"/>
          <w:sz w:val="20"/>
          <w:szCs w:val="20"/>
        </w:rPr>
      </w:pPr>
      <w:r>
        <w:rPr>
          <w:rFonts w:ascii="Times New Roman" w:hAnsi="Times New Roman" w:cs="Times New Roman" w:hint="eastAsia"/>
          <w:noProof/>
          <w:sz w:val="20"/>
          <w:szCs w:val="20"/>
        </w:rPr>
        <w:drawing>
          <wp:inline distT="0" distB="0" distL="0" distR="0" wp14:anchorId="376816D6" wp14:editId="2F40E5FC">
            <wp:extent cx="5274310" cy="1121410"/>
            <wp:effectExtent l="0" t="0" r="2540"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1121410"/>
                    </a:xfrm>
                    <a:prstGeom prst="rect">
                      <a:avLst/>
                    </a:prstGeom>
                  </pic:spPr>
                </pic:pic>
              </a:graphicData>
            </a:graphic>
          </wp:inline>
        </w:drawing>
      </w:r>
    </w:p>
    <w:p w14:paraId="11792C97" w14:textId="39049387" w:rsidR="00D06301" w:rsidRDefault="004E7AF3" w:rsidP="00D06301">
      <w:pPr>
        <w:rPr>
          <w:rFonts w:ascii="Times New Roman" w:hAnsi="Times New Roman" w:cs="Times New Roman"/>
          <w:sz w:val="20"/>
          <w:szCs w:val="20"/>
        </w:rPr>
      </w:pPr>
      <w:r w:rsidRPr="004E7AF3">
        <w:rPr>
          <w:rFonts w:ascii="Times New Roman" w:hAnsi="Times New Roman" w:cs="Times New Roman"/>
          <w:sz w:val="20"/>
          <w:szCs w:val="20"/>
        </w:rPr>
        <w:t xml:space="preserve">Supplementary </w:t>
      </w:r>
      <w:r w:rsidR="00D06301">
        <w:rPr>
          <w:rFonts w:ascii="Times New Roman" w:hAnsi="Times New Roman" w:cs="Times New Roman"/>
          <w:sz w:val="20"/>
          <w:szCs w:val="20"/>
        </w:rPr>
        <w:t>Fig.</w:t>
      </w:r>
      <w:r>
        <w:rPr>
          <w:rFonts w:ascii="Times New Roman" w:hAnsi="Times New Roman" w:cs="Times New Roman"/>
          <w:sz w:val="20"/>
          <w:szCs w:val="20"/>
        </w:rPr>
        <w:t xml:space="preserve"> </w:t>
      </w:r>
      <w:r w:rsidR="00D06301">
        <w:rPr>
          <w:rFonts w:ascii="Times New Roman" w:hAnsi="Times New Roman" w:cs="Times New Roman"/>
          <w:sz w:val="20"/>
          <w:szCs w:val="20"/>
        </w:rPr>
        <w:t>1 Comparisons of PLI network based on scalp electrodes between AIE and HC patients</w:t>
      </w:r>
      <w:r w:rsidR="00D06301" w:rsidRPr="008F1DEA">
        <w:rPr>
          <w:rFonts w:ascii="Times New Roman" w:hAnsi="Times New Roman" w:cs="Times New Roman"/>
          <w:sz w:val="20"/>
          <w:szCs w:val="20"/>
          <w:vertAlign w:val="superscript"/>
        </w:rPr>
        <w:t>#</w:t>
      </w:r>
      <w:r w:rsidR="00D06301">
        <w:rPr>
          <w:rFonts w:ascii="Times New Roman" w:hAnsi="Times New Roman" w:cs="Times New Roman" w:hint="eastAsia"/>
          <w:sz w:val="20"/>
          <w:szCs w:val="20"/>
        </w:rPr>
        <w:t>.</w:t>
      </w:r>
    </w:p>
    <w:p w14:paraId="70B052CD" w14:textId="717A79AF" w:rsidR="00D06301" w:rsidRDefault="00D06301" w:rsidP="00D06301">
      <w:pPr>
        <w:rPr>
          <w:rFonts w:ascii="Times New Roman" w:hAnsi="Times New Roman" w:cs="Times New Roman"/>
          <w:sz w:val="20"/>
          <w:szCs w:val="20"/>
        </w:rPr>
      </w:pPr>
      <w:r w:rsidRPr="008F1DEA">
        <w:rPr>
          <w:rFonts w:ascii="Times New Roman" w:hAnsi="Times New Roman" w:cs="Times New Roman"/>
          <w:sz w:val="20"/>
          <w:szCs w:val="20"/>
          <w:vertAlign w:val="superscript"/>
        </w:rPr>
        <w:t>#</w:t>
      </w:r>
      <w:r>
        <w:rPr>
          <w:rFonts w:ascii="Times New Roman" w:hAnsi="Times New Roman" w:cs="Times New Roman"/>
          <w:sz w:val="20"/>
          <w:szCs w:val="20"/>
        </w:rPr>
        <w:t xml:space="preserve">PLI network connectivity in </w:t>
      </w:r>
      <w:r w:rsidR="00927368">
        <w:rPr>
          <w:rFonts w:ascii="Times New Roman" w:hAnsi="Times New Roman" w:cs="Times New Roman"/>
          <w:sz w:val="20"/>
          <w:szCs w:val="20"/>
        </w:rPr>
        <w:t>delta (</w:t>
      </w:r>
      <w:r>
        <w:rPr>
          <w:rFonts w:ascii="Times New Roman" w:hAnsi="Times New Roman" w:cs="Times New Roman"/>
          <w:sz w:val="20"/>
          <w:szCs w:val="20"/>
        </w:rPr>
        <w:t>1–4 Hz)</w:t>
      </w:r>
      <w:r>
        <w:rPr>
          <w:rFonts w:ascii="Times New Roman" w:hAnsi="Times New Roman" w:cs="Times New Roman" w:hint="eastAsia"/>
          <w:sz w:val="20"/>
          <w:szCs w:val="20"/>
        </w:rPr>
        <w:t>,</w:t>
      </w:r>
      <w:r>
        <w:rPr>
          <w:rFonts w:ascii="Times New Roman" w:hAnsi="Times New Roman" w:cs="Times New Roman"/>
          <w:sz w:val="20"/>
          <w:szCs w:val="20"/>
        </w:rPr>
        <w:t xml:space="preserve"> </w:t>
      </w:r>
      <w:r w:rsidR="00927368">
        <w:rPr>
          <w:rFonts w:ascii="Times New Roman" w:hAnsi="Times New Roman" w:cs="Times New Roman"/>
          <w:sz w:val="20"/>
          <w:szCs w:val="20"/>
        </w:rPr>
        <w:t>theta (</w:t>
      </w:r>
      <w:r>
        <w:rPr>
          <w:rFonts w:ascii="Times New Roman" w:hAnsi="Times New Roman" w:cs="Times New Roman"/>
          <w:sz w:val="20"/>
          <w:szCs w:val="20"/>
        </w:rPr>
        <w:t>4–8 Hz)</w:t>
      </w:r>
      <w:r>
        <w:rPr>
          <w:rFonts w:ascii="Times New Roman" w:hAnsi="Times New Roman" w:cs="Times New Roman" w:hint="eastAsia"/>
          <w:sz w:val="20"/>
          <w:szCs w:val="20"/>
        </w:rPr>
        <w:t>,</w:t>
      </w:r>
      <w:r>
        <w:rPr>
          <w:rFonts w:ascii="Times New Roman" w:hAnsi="Times New Roman" w:cs="Times New Roman"/>
          <w:sz w:val="20"/>
          <w:szCs w:val="20"/>
        </w:rPr>
        <w:t xml:space="preserve"> </w:t>
      </w:r>
      <w:r w:rsidR="00927368">
        <w:rPr>
          <w:rFonts w:ascii="Times New Roman" w:hAnsi="Times New Roman" w:cs="Times New Roman"/>
          <w:sz w:val="20"/>
          <w:szCs w:val="20"/>
        </w:rPr>
        <w:t>alpha (</w:t>
      </w:r>
      <w:r>
        <w:rPr>
          <w:rFonts w:ascii="Times New Roman" w:hAnsi="Times New Roman" w:cs="Times New Roman"/>
          <w:sz w:val="20"/>
          <w:szCs w:val="20"/>
        </w:rPr>
        <w:t>8–13 Hz)</w:t>
      </w:r>
      <w:r>
        <w:rPr>
          <w:rFonts w:ascii="Times New Roman" w:hAnsi="Times New Roman" w:cs="Times New Roman" w:hint="eastAsia"/>
          <w:sz w:val="20"/>
          <w:szCs w:val="20"/>
        </w:rPr>
        <w:t>,</w:t>
      </w:r>
      <w:r>
        <w:rPr>
          <w:rFonts w:ascii="Times New Roman" w:hAnsi="Times New Roman" w:cs="Times New Roman"/>
          <w:sz w:val="20"/>
          <w:szCs w:val="20"/>
        </w:rPr>
        <w:t xml:space="preserve"> beta1 band (13–30 Hz), beta2(30-45Hz) and gamma band(45-70Hz)</w:t>
      </w:r>
      <w:r>
        <w:rPr>
          <w:rFonts w:ascii="Times New Roman" w:hAnsi="Times New Roman" w:cs="Times New Roman" w:hint="eastAsia"/>
          <w:sz w:val="20"/>
          <w:szCs w:val="20"/>
        </w:rPr>
        <w:t>.</w:t>
      </w:r>
      <w:r>
        <w:rPr>
          <w:rFonts w:ascii="Times New Roman" w:hAnsi="Times New Roman" w:cs="Times New Roman"/>
          <w:sz w:val="20"/>
          <w:szCs w:val="20"/>
        </w:rPr>
        <w:t xml:space="preserve"> The red line in the figure indicates the increased edge between nodes in AIE patients compared to HC. The blue line indicates that the connections are reduced in patients with AIE compared to the HC after FDR corrections (</w:t>
      </w:r>
      <w:r w:rsidRPr="008F1DEA">
        <w:rPr>
          <w:rFonts w:ascii="Times New Roman" w:hAnsi="Times New Roman" w:cs="Times New Roman"/>
          <w:i/>
          <w:iCs/>
          <w:sz w:val="20"/>
          <w:szCs w:val="20"/>
        </w:rPr>
        <w:t>P&lt;</w:t>
      </w:r>
      <w:r>
        <w:rPr>
          <w:rFonts w:ascii="Times New Roman" w:hAnsi="Times New Roman" w:cs="Times New Roman"/>
          <w:sz w:val="20"/>
          <w:szCs w:val="20"/>
        </w:rPr>
        <w:t xml:space="preserve">0.05). </w:t>
      </w:r>
      <w:r>
        <w:rPr>
          <w:rFonts w:ascii="Times New Roman" w:eastAsia="等线" w:hAnsi="Times New Roman" w:cs="Times New Roman"/>
          <w:sz w:val="20"/>
          <w:szCs w:val="20"/>
          <w:lang w:bidi="ar"/>
        </w:rPr>
        <w:t xml:space="preserve">AIE, </w:t>
      </w:r>
      <w:r w:rsidR="00AA5C2D" w:rsidRPr="00AA5C2D">
        <w:rPr>
          <w:rFonts w:ascii="Times New Roman" w:hAnsi="Times New Roman" w:cs="Times New Roman"/>
          <w:sz w:val="20"/>
          <w:szCs w:val="20"/>
        </w:rPr>
        <w:t>Autoimmune anti-NMDAR encephalitis</w:t>
      </w:r>
      <w:r>
        <w:rPr>
          <w:rFonts w:ascii="Times New Roman" w:eastAsia="等线" w:hAnsi="Times New Roman" w:cs="Times New Roman"/>
          <w:sz w:val="20"/>
          <w:szCs w:val="20"/>
          <w:lang w:bidi="ar"/>
        </w:rPr>
        <w:t>; HC, healthy control;</w:t>
      </w:r>
      <w:bookmarkStart w:id="0" w:name="_GoBack"/>
      <w:bookmarkEnd w:id="0"/>
    </w:p>
    <w:p w14:paraId="376585C9" w14:textId="77777777" w:rsidR="00D06301" w:rsidRDefault="00D06301" w:rsidP="00D06301">
      <w:pPr>
        <w:rPr>
          <w:rFonts w:ascii="Times New Roman" w:hAnsi="Times New Roman" w:cs="Times New Roman"/>
          <w:sz w:val="20"/>
          <w:szCs w:val="20"/>
        </w:rPr>
      </w:pPr>
    </w:p>
    <w:p w14:paraId="4CCA4344" w14:textId="77777777" w:rsidR="00D06301" w:rsidRDefault="00D06301" w:rsidP="00D06301">
      <w:pPr>
        <w:rPr>
          <w:rFonts w:ascii="Times New Roman" w:hAnsi="Times New Roman" w:cs="Times New Roman"/>
          <w:sz w:val="20"/>
          <w:szCs w:val="20"/>
        </w:rPr>
      </w:pPr>
    </w:p>
    <w:p w14:paraId="068359FA" w14:textId="77777777" w:rsidR="00D06301" w:rsidRDefault="00D06301" w:rsidP="00D06301">
      <w:pPr>
        <w:rPr>
          <w:rFonts w:ascii="Times New Roman" w:hAnsi="Times New Roman" w:cs="Times New Roman"/>
          <w:sz w:val="20"/>
          <w:szCs w:val="20"/>
        </w:rPr>
      </w:pPr>
    </w:p>
    <w:p w14:paraId="781F903A" w14:textId="77777777" w:rsidR="00D06301" w:rsidRDefault="00D06301" w:rsidP="00D06301">
      <w:pPr>
        <w:rPr>
          <w:rFonts w:ascii="Times New Roman" w:hAnsi="Times New Roman" w:cs="Times New Roman"/>
          <w:sz w:val="20"/>
          <w:szCs w:val="20"/>
        </w:rPr>
      </w:pPr>
      <w:r>
        <w:rPr>
          <w:rFonts w:ascii="Times New Roman" w:hAnsi="Times New Roman" w:cs="Times New Roman" w:hint="eastAsia"/>
          <w:noProof/>
          <w:sz w:val="20"/>
          <w:szCs w:val="20"/>
        </w:rPr>
        <w:lastRenderedPageBreak/>
        <w:drawing>
          <wp:inline distT="0" distB="0" distL="0" distR="0" wp14:anchorId="67C3D102" wp14:editId="5E36191C">
            <wp:extent cx="5274310" cy="3141980"/>
            <wp:effectExtent l="0" t="0" r="254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141980"/>
                    </a:xfrm>
                    <a:prstGeom prst="rect">
                      <a:avLst/>
                    </a:prstGeom>
                  </pic:spPr>
                </pic:pic>
              </a:graphicData>
            </a:graphic>
          </wp:inline>
        </w:drawing>
      </w:r>
    </w:p>
    <w:p w14:paraId="1FB3C5E7" w14:textId="4FF5B0BF" w:rsidR="00AA5C2D" w:rsidRDefault="004E7AF3" w:rsidP="00AA5C2D">
      <w:pPr>
        <w:ind w:firstLine="314"/>
        <w:rPr>
          <w:rFonts w:cs="Times New Roman"/>
          <w:sz w:val="20"/>
          <w:szCs w:val="20"/>
        </w:rPr>
      </w:pPr>
      <w:r w:rsidRPr="004E7AF3">
        <w:rPr>
          <w:rFonts w:ascii="Times New Roman" w:hAnsi="Times New Roman" w:cs="Times New Roman"/>
          <w:sz w:val="20"/>
          <w:szCs w:val="20"/>
        </w:rPr>
        <w:t xml:space="preserve">Supplementary </w:t>
      </w:r>
      <w:r w:rsidR="00D06301">
        <w:rPr>
          <w:rFonts w:ascii="Times New Roman" w:hAnsi="Times New Roman" w:cs="Times New Roman"/>
          <w:sz w:val="20"/>
          <w:szCs w:val="20"/>
        </w:rPr>
        <w:t>Fig.</w:t>
      </w:r>
      <w:r>
        <w:rPr>
          <w:rFonts w:ascii="Times New Roman" w:hAnsi="Times New Roman" w:cs="Times New Roman"/>
          <w:sz w:val="20"/>
          <w:szCs w:val="20"/>
        </w:rPr>
        <w:t xml:space="preserve"> </w:t>
      </w:r>
      <w:r w:rsidR="00D06301">
        <w:rPr>
          <w:rFonts w:ascii="Times New Roman" w:hAnsi="Times New Roman" w:cs="Times New Roman"/>
          <w:sz w:val="20"/>
          <w:szCs w:val="20"/>
        </w:rPr>
        <w:t xml:space="preserve">2 Comparisons of </w:t>
      </w:r>
      <w:r w:rsidR="00D06301" w:rsidRPr="007451CB">
        <w:rPr>
          <w:rFonts w:ascii="Times New Roman" w:hAnsi="Times New Roman" w:cs="Times New Roman"/>
          <w:sz w:val="20"/>
          <w:szCs w:val="20"/>
        </w:rPr>
        <w:t>Graph Theoretical</w:t>
      </w:r>
      <w:r w:rsidR="00D06301">
        <w:rPr>
          <w:rFonts w:ascii="Times New Roman" w:hAnsi="Times New Roman" w:cs="Times New Roman"/>
          <w:sz w:val="20"/>
          <w:szCs w:val="20"/>
        </w:rPr>
        <w:t xml:space="preserve"> parameters based on scalp electrodes between AIE and HC patients</w:t>
      </w:r>
      <w:r w:rsidR="00D06301" w:rsidRPr="00AA5C2D">
        <w:rPr>
          <w:rFonts w:ascii="Times New Roman" w:hAnsi="Times New Roman" w:cs="Times New Roman"/>
          <w:sz w:val="20"/>
          <w:szCs w:val="20"/>
        </w:rPr>
        <w:t>#</w:t>
      </w:r>
      <w:r w:rsidR="00D06301">
        <w:rPr>
          <w:rFonts w:ascii="Times New Roman" w:hAnsi="Times New Roman" w:cs="Times New Roman" w:hint="eastAsia"/>
          <w:sz w:val="20"/>
          <w:szCs w:val="20"/>
        </w:rPr>
        <w:t>.</w:t>
      </w:r>
      <w:r w:rsidR="00AA5C2D">
        <w:rPr>
          <w:rFonts w:ascii="Times New Roman" w:hAnsi="Times New Roman" w:cs="Times New Roman"/>
          <w:sz w:val="20"/>
          <w:szCs w:val="20"/>
        </w:rPr>
        <w:t xml:space="preserve"> </w:t>
      </w:r>
      <w:r w:rsidR="00AA5C2D" w:rsidRPr="00AA5C2D">
        <w:rPr>
          <w:rFonts w:ascii="Times New Roman" w:hAnsi="Times New Roman" w:cs="Times New Roman"/>
          <w:sz w:val="20"/>
          <w:szCs w:val="20"/>
        </w:rPr>
        <w:t>#AIE: Autoimmune anti-NMDAR encephalitis</w:t>
      </w:r>
      <w:r w:rsidR="00AA5C2D">
        <w:rPr>
          <w:rFonts w:ascii="Times New Roman" w:hAnsi="Times New Roman" w:cs="Times New Roman"/>
          <w:sz w:val="20"/>
          <w:szCs w:val="20"/>
        </w:rPr>
        <w:t xml:space="preserve">; </w:t>
      </w:r>
      <w:r w:rsidR="00AA5C2D" w:rsidRPr="00AA5C2D">
        <w:rPr>
          <w:rFonts w:ascii="Times New Roman" w:hAnsi="Times New Roman" w:cs="Times New Roman"/>
          <w:sz w:val="20"/>
          <w:szCs w:val="20"/>
        </w:rPr>
        <w:t>HC: Healthy control, d: Effect size (Cohen’s d).</w:t>
      </w:r>
    </w:p>
    <w:p w14:paraId="6DECFB0D" w14:textId="4EBBEB3C" w:rsidR="00D06301" w:rsidRPr="00AA5C2D" w:rsidRDefault="00D06301" w:rsidP="00D06301">
      <w:pPr>
        <w:rPr>
          <w:rFonts w:ascii="Times New Roman" w:hAnsi="Times New Roman" w:cs="Times New Roman"/>
          <w:sz w:val="20"/>
          <w:szCs w:val="20"/>
        </w:rPr>
      </w:pPr>
    </w:p>
    <w:sectPr w:rsidR="00D06301" w:rsidRPr="00AA5C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033045" w14:textId="77777777" w:rsidR="00141786" w:rsidRDefault="00141786" w:rsidP="00D06301">
      <w:r>
        <w:separator/>
      </w:r>
    </w:p>
  </w:endnote>
  <w:endnote w:type="continuationSeparator" w:id="0">
    <w:p w14:paraId="4B872C20" w14:textId="77777777" w:rsidR="00141786" w:rsidRDefault="00141786" w:rsidP="00D063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2F025F" w14:textId="77777777" w:rsidR="00141786" w:rsidRDefault="00141786" w:rsidP="00D06301">
      <w:r>
        <w:separator/>
      </w:r>
    </w:p>
  </w:footnote>
  <w:footnote w:type="continuationSeparator" w:id="0">
    <w:p w14:paraId="25C2FC6E" w14:textId="77777777" w:rsidR="00141786" w:rsidRDefault="00141786" w:rsidP="00D063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315D"/>
    <w:rsid w:val="00014193"/>
    <w:rsid w:val="00141786"/>
    <w:rsid w:val="00247E70"/>
    <w:rsid w:val="002515E8"/>
    <w:rsid w:val="0035428E"/>
    <w:rsid w:val="003B72C7"/>
    <w:rsid w:val="004311E0"/>
    <w:rsid w:val="004E6823"/>
    <w:rsid w:val="004E7AF3"/>
    <w:rsid w:val="004F0489"/>
    <w:rsid w:val="005626B4"/>
    <w:rsid w:val="00576CEC"/>
    <w:rsid w:val="0080184F"/>
    <w:rsid w:val="00897657"/>
    <w:rsid w:val="00913A8A"/>
    <w:rsid w:val="00927368"/>
    <w:rsid w:val="00AA5C2D"/>
    <w:rsid w:val="00AD313E"/>
    <w:rsid w:val="00B370E4"/>
    <w:rsid w:val="00B9381E"/>
    <w:rsid w:val="00D06301"/>
    <w:rsid w:val="00E206F6"/>
    <w:rsid w:val="00FB3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06E5C2F"/>
  <w15:chartTrackingRefBased/>
  <w15:docId w15:val="{A997273C-3DE1-4A75-A8C0-F27D8E146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B31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FB31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06301"/>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06301"/>
    <w:rPr>
      <w:sz w:val="18"/>
      <w:szCs w:val="18"/>
    </w:rPr>
  </w:style>
  <w:style w:type="paragraph" w:styleId="a6">
    <w:name w:val="footer"/>
    <w:basedOn w:val="a"/>
    <w:link w:val="a7"/>
    <w:uiPriority w:val="99"/>
    <w:unhideWhenUsed/>
    <w:rsid w:val="00D06301"/>
    <w:pPr>
      <w:tabs>
        <w:tab w:val="center" w:pos="4153"/>
        <w:tab w:val="right" w:pos="8306"/>
      </w:tabs>
      <w:snapToGrid w:val="0"/>
      <w:jc w:val="left"/>
    </w:pPr>
    <w:rPr>
      <w:sz w:val="18"/>
      <w:szCs w:val="18"/>
    </w:rPr>
  </w:style>
  <w:style w:type="character" w:customStyle="1" w:styleId="a7">
    <w:name w:val="页脚 字符"/>
    <w:basedOn w:val="a0"/>
    <w:link w:val="a6"/>
    <w:uiPriority w:val="99"/>
    <w:rsid w:val="00D0630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185</Words>
  <Characters>1057</Characters>
  <Application>Microsoft Office Word</Application>
  <DocSecurity>0</DocSecurity>
  <Lines>8</Lines>
  <Paragraphs>2</Paragraphs>
  <ScaleCrop>false</ScaleCrop>
  <Company/>
  <LinksUpToDate>false</LinksUpToDate>
  <CharactersWithSpaces>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Doctor</dc:creator>
  <cp:keywords/>
  <dc:description/>
  <cp:lastModifiedBy>Cherry Chow</cp:lastModifiedBy>
  <cp:revision>14</cp:revision>
  <cp:lastPrinted>2023-12-04T07:41:00Z</cp:lastPrinted>
  <dcterms:created xsi:type="dcterms:W3CDTF">2023-12-02T07:06:00Z</dcterms:created>
  <dcterms:modified xsi:type="dcterms:W3CDTF">2024-04-23T03:28:00Z</dcterms:modified>
</cp:coreProperties>
</file>