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B673" w14:textId="77777777" w:rsidR="00580E0C" w:rsidRPr="00EC60D8" w:rsidRDefault="00580E0C" w:rsidP="00580E0C">
      <w:pPr>
        <w:keepNext/>
        <w:keepLines/>
        <w:spacing w:after="240"/>
        <w:outlineLvl w:val="0"/>
        <w:rPr>
          <w:rFonts w:eastAsiaTheme="majorEastAsia" w:cs="Calibri Light"/>
          <w:b/>
          <w:bCs/>
          <w:caps/>
          <w:szCs w:val="32"/>
          <w:lang w:val="en-GB"/>
        </w:rPr>
      </w:pPr>
      <w:bookmarkStart w:id="0" w:name="supplementary-online-material"/>
      <w:r w:rsidRPr="00EC60D8">
        <w:rPr>
          <w:rFonts w:eastAsiaTheme="majorEastAsia" w:cs="Calibri Light"/>
          <w:b/>
          <w:bCs/>
          <w:caps/>
          <w:szCs w:val="32"/>
          <w:lang w:val="en-GB"/>
        </w:rPr>
        <w:t>Supplementary online material</w:t>
      </w:r>
      <w:bookmarkEnd w:id="0"/>
    </w:p>
    <w:p w14:paraId="594D083B" w14:textId="77777777" w:rsidR="00580E0C" w:rsidRPr="00EC60D8" w:rsidRDefault="00580E0C" w:rsidP="00580E0C">
      <w:pPr>
        <w:rPr>
          <w:lang w:val="en-GB"/>
        </w:rPr>
      </w:pPr>
      <w:r w:rsidRPr="00EC60D8">
        <w:rPr>
          <w:b/>
          <w:lang w:val="en-GB"/>
        </w:rPr>
        <w:t>Supplementary Table 1.</w:t>
      </w:r>
      <w:r w:rsidRPr="00EC60D8">
        <w:rPr>
          <w:lang w:val="en-GB"/>
        </w:rPr>
        <w:t xml:space="preserve"> Details of variables used </w:t>
      </w:r>
      <w:r w:rsidR="00386E6F">
        <w:rPr>
          <w:lang w:val="en-GB"/>
        </w:rPr>
        <w:t xml:space="preserve">in the </w:t>
      </w:r>
      <w:r w:rsidRPr="00EC60D8">
        <w:rPr>
          <w:lang w:val="en-GB"/>
        </w:rPr>
        <w:t xml:space="preserve">study. Note that all </w:t>
      </w:r>
      <w:r w:rsidR="00520A7A">
        <w:rPr>
          <w:lang w:val="en-GB"/>
        </w:rPr>
        <w:t>time windows</w:t>
      </w:r>
      <w:r w:rsidRPr="00EC60D8">
        <w:rPr>
          <w:lang w:val="en-GB"/>
        </w:rPr>
        <w:t xml:space="preserve"> either refer to calendar time or </w:t>
      </w:r>
      <w:r w:rsidR="00525C76">
        <w:rPr>
          <w:lang w:val="en-GB"/>
        </w:rPr>
        <w:t xml:space="preserve">days before or after </w:t>
      </w:r>
      <w:r w:rsidRPr="00EC60D8">
        <w:rPr>
          <w:lang w:val="en-GB"/>
        </w:rPr>
        <w:t xml:space="preserve">time zero (index date), and square brackets </w:t>
      </w:r>
      <w:r w:rsidR="00602AAC" w:rsidRPr="00EC60D8">
        <w:rPr>
          <w:lang w:val="en-GB"/>
        </w:rPr>
        <w:t>indicate</w:t>
      </w:r>
      <w:r w:rsidRPr="00EC60D8">
        <w:rPr>
          <w:lang w:val="en-GB"/>
        </w:rPr>
        <w:t xml:space="preserve"> inclusive.</w:t>
      </w:r>
    </w:p>
    <w:tbl>
      <w:tblPr>
        <w:tblStyle w:val="TableGrid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908"/>
        <w:gridCol w:w="2020"/>
        <w:gridCol w:w="2004"/>
        <w:gridCol w:w="1410"/>
      </w:tblGrid>
      <w:tr w:rsidR="001A4F7B" w:rsidRPr="00EC60D8" w14:paraId="7E0D79A6" w14:textId="77777777" w:rsidTr="005C6675">
        <w:trPr>
          <w:trHeight w:val="305"/>
          <w:tblHeader/>
          <w:jc w:val="center"/>
        </w:trPr>
        <w:tc>
          <w:tcPr>
            <w:tcW w:w="933" w:type="pct"/>
            <w:tcBorders>
              <w:bottom w:val="single" w:sz="4" w:space="0" w:color="auto"/>
            </w:tcBorders>
          </w:tcPr>
          <w:p w14:paraId="7B41B0F2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Variable category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222E3B3D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Variable name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62A3486F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2D1EA9C9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Assessment Window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0C64473C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1A4F7B" w:rsidRPr="00EC60D8" w14:paraId="385FE5D3" w14:textId="77777777" w:rsidTr="005C6675">
        <w:trPr>
          <w:gridAfter w:val="1"/>
          <w:wAfter w:w="781" w:type="pct"/>
          <w:trHeight w:val="284"/>
          <w:jc w:val="center"/>
        </w:trPr>
        <w:tc>
          <w:tcPr>
            <w:tcW w:w="1990" w:type="pct"/>
            <w:gridSpan w:val="2"/>
            <w:tcBorders>
              <w:bottom w:val="single" w:sz="4" w:space="0" w:color="auto"/>
            </w:tcBorders>
          </w:tcPr>
          <w:p w14:paraId="6600BFA0" w14:textId="77777777" w:rsidR="001A4F7B" w:rsidRPr="00EC60D8" w:rsidRDefault="001A4F7B" w:rsidP="000607D0">
            <w:pPr>
              <w:rPr>
                <w:rFonts w:eastAsia="Calibri" w:cs="Arial"/>
                <w:b/>
                <w:i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i/>
                <w:sz w:val="20"/>
                <w:szCs w:val="20"/>
                <w:lang w:val="en-GB"/>
              </w:rPr>
              <w:t>Diagnoses and procedures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45C453BD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i/>
                <w:sz w:val="20"/>
                <w:szCs w:val="20"/>
                <w:lang w:val="en-GB"/>
              </w:rPr>
              <w:t>ICD-9</w:t>
            </w:r>
            <w:r w:rsidR="009221B2">
              <w:rPr>
                <w:rFonts w:eastAsia="Calibri" w:cs="Arial"/>
                <w:b/>
                <w:i/>
                <w:sz w:val="20"/>
                <w:szCs w:val="20"/>
                <w:lang w:val="en-GB"/>
              </w:rPr>
              <w:t>-CM</w:t>
            </w:r>
            <w:r w:rsidRPr="00EC60D8">
              <w:rPr>
                <w:rFonts w:eastAsia="Calibri" w:cs="Arial"/>
                <w:b/>
                <w:i/>
                <w:sz w:val="20"/>
                <w:szCs w:val="20"/>
                <w:lang w:val="en-GB"/>
              </w:rPr>
              <w:t xml:space="preserve"> Code/ICPC Code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17CD41BE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</w:tr>
      <w:tr w:rsidR="001A4F7B" w:rsidRPr="00EC60D8" w14:paraId="48397C3E" w14:textId="77777777" w:rsidTr="005C6675">
        <w:trPr>
          <w:trHeight w:val="305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52009449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Index event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7B459D0B" w14:textId="77777777" w:rsidR="001A4F7B" w:rsidRPr="00EC60D8" w:rsidRDefault="00030983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Myocardial infarction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38A697B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410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1851D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1 January 2003 - 31 December 2016</w:t>
            </w:r>
          </w:p>
          <w:p w14:paraId="42080AE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  <w:p w14:paraId="499643E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B82A3F" w14:textId="77777777" w:rsidR="001A4F7B" w:rsidRPr="00EC60D8" w:rsidRDefault="001A4F7B" w:rsidP="00091A42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Earliest discharge date for inpatient diagnosis or procedures in D1/P1 to D3/P3 position</w:t>
            </w:r>
          </w:p>
        </w:tc>
      </w:tr>
      <w:tr w:rsidR="001A4F7B" w:rsidRPr="00EC60D8" w14:paraId="0A95C495" w14:textId="77777777" w:rsidTr="005C6675">
        <w:trPr>
          <w:trHeight w:val="305"/>
          <w:jc w:val="center"/>
        </w:trPr>
        <w:tc>
          <w:tcPr>
            <w:tcW w:w="933" w:type="pct"/>
            <w:vMerge/>
          </w:tcPr>
          <w:p w14:paraId="606029B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642C5CF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Stroke or</w:t>
            </w:r>
            <w:r w:rsidR="00030983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transient isch</w:t>
            </w:r>
            <w:r w:rsidR="00BD301D" w:rsidRPr="00EC60D8">
              <w:rPr>
                <w:rFonts w:eastAsia="Calibri" w:cs="Arial"/>
                <w:sz w:val="20"/>
                <w:szCs w:val="20"/>
                <w:lang w:val="en-GB"/>
              </w:rPr>
              <w:t>a</w:t>
            </w:r>
            <w:r w:rsidR="00030983" w:rsidRPr="00EC60D8">
              <w:rPr>
                <w:rFonts w:eastAsia="Calibri" w:cs="Arial"/>
                <w:sz w:val="20"/>
                <w:szCs w:val="20"/>
                <w:lang w:val="en-GB"/>
              </w:rPr>
              <w:t>emic attack</w:t>
            </w:r>
          </w:p>
        </w:tc>
        <w:tc>
          <w:tcPr>
            <w:tcW w:w="1119" w:type="pct"/>
          </w:tcPr>
          <w:p w14:paraId="14F75EA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430, 431, 432, 433.01, 433.11, 433.21, 433.31, 433.81, 433.91, 434, 435, 436, 437.0, 437.1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</w:tcPr>
          <w:p w14:paraId="70F5F35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268655C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69BEE303" w14:textId="77777777" w:rsidTr="005C6675">
        <w:trPr>
          <w:trHeight w:val="292"/>
          <w:jc w:val="center"/>
        </w:trPr>
        <w:tc>
          <w:tcPr>
            <w:tcW w:w="933" w:type="pct"/>
            <w:vMerge/>
            <w:tcBorders>
              <w:bottom w:val="single" w:sz="4" w:space="0" w:color="auto"/>
            </w:tcBorders>
          </w:tcPr>
          <w:p w14:paraId="2EA3435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85A8DA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Percutan</w:t>
            </w:r>
            <w:r w:rsidR="00030983" w:rsidRPr="00EC60D8">
              <w:rPr>
                <w:rFonts w:eastAsia="Calibri" w:cs="Arial"/>
                <w:sz w:val="20"/>
                <w:szCs w:val="20"/>
                <w:lang w:val="en-GB"/>
              </w:rPr>
              <w:t>eous coronary intervention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54F9634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36.01-36.02, 36.05-36.07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</w:tcPr>
          <w:p w14:paraId="7E63C28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5429FC3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27E5F821" w14:textId="77777777" w:rsidTr="005C6675">
        <w:trPr>
          <w:trHeight w:val="292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5B17DA08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Baseline diagnoses and procedures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3D144CF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4EDA1E7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401-405</w:t>
            </w:r>
          </w:p>
          <w:p w14:paraId="20D06B1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K86, K87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76A833DA" w14:textId="77777777" w:rsidR="001A4F7B" w:rsidRPr="00EC60D8" w:rsidRDefault="004F1F84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2DDA39B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diagnosis, inpatient diagnosis, outpatient diagnosis</w:t>
            </w:r>
          </w:p>
        </w:tc>
      </w:tr>
      <w:tr w:rsidR="001A4F7B" w:rsidRPr="00EC60D8" w14:paraId="4B297572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C6CD61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365F055B" w14:textId="77777777" w:rsidR="001A4F7B" w:rsidRPr="00EC60D8" w:rsidRDefault="00DB30BF" w:rsidP="00DB30BF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Diabetes mellitus</w:t>
            </w:r>
          </w:p>
        </w:tc>
        <w:tc>
          <w:tcPr>
            <w:tcW w:w="1119" w:type="pct"/>
          </w:tcPr>
          <w:p w14:paraId="765D4055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250</w:t>
            </w:r>
          </w:p>
          <w:p w14:paraId="7279F9A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T89, T90, T901, W85</w:t>
            </w:r>
          </w:p>
        </w:tc>
        <w:tc>
          <w:tcPr>
            <w:tcW w:w="1110" w:type="pct"/>
          </w:tcPr>
          <w:p w14:paraId="4C6AA653" w14:textId="77777777" w:rsidR="001A4F7B" w:rsidRPr="00EC60D8" w:rsidRDefault="00C53129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327B9C5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diagnosis, inpatient diagnosis, outpatient diagnosis</w:t>
            </w:r>
          </w:p>
        </w:tc>
      </w:tr>
      <w:tr w:rsidR="001A4F7B" w:rsidRPr="00EC60D8" w14:paraId="145DBB72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108B66F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4EF9CF5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Heart failure</w:t>
            </w:r>
          </w:p>
        </w:tc>
        <w:tc>
          <w:tcPr>
            <w:tcW w:w="1119" w:type="pct"/>
          </w:tcPr>
          <w:p w14:paraId="6093627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428</w:t>
            </w:r>
          </w:p>
          <w:p w14:paraId="11355BB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K77</w:t>
            </w:r>
          </w:p>
        </w:tc>
        <w:tc>
          <w:tcPr>
            <w:tcW w:w="1110" w:type="pct"/>
          </w:tcPr>
          <w:p w14:paraId="470CC902" w14:textId="77777777" w:rsidR="001A4F7B" w:rsidRPr="00EC60D8" w:rsidRDefault="00C53129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508834C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diagnosis, inpatient diagnosis, outpatient diagnosis</w:t>
            </w:r>
          </w:p>
        </w:tc>
      </w:tr>
      <w:tr w:rsidR="001A4F7B" w:rsidRPr="00EC60D8" w14:paraId="681CC31E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6AECAF45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150CE66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History of coronary ar</w:t>
            </w:r>
            <w:r w:rsidR="001E7C1B" w:rsidRPr="00EC60D8">
              <w:rPr>
                <w:rFonts w:eastAsia="Calibri" w:cs="Arial"/>
                <w:sz w:val="20"/>
                <w:szCs w:val="20"/>
                <w:lang w:val="en-GB"/>
              </w:rPr>
              <w:t>tery bypass graft surgery</w:t>
            </w:r>
          </w:p>
        </w:tc>
        <w:tc>
          <w:tcPr>
            <w:tcW w:w="1119" w:type="pct"/>
          </w:tcPr>
          <w:p w14:paraId="2AEEB18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36.10-36.17, 36.19, 36.2</w:t>
            </w:r>
          </w:p>
        </w:tc>
        <w:tc>
          <w:tcPr>
            <w:tcW w:w="1110" w:type="pct"/>
          </w:tcPr>
          <w:p w14:paraId="221DCB9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</w:t>
            </w:r>
            <w:r w:rsidR="00C53129">
              <w:rPr>
                <w:rFonts w:eastAsia="Calibri" w:cs="Arial"/>
                <w:sz w:val="20"/>
                <w:szCs w:val="20"/>
                <w:lang w:val="en-GB"/>
              </w:rPr>
              <w:t>Start of procedure data (1993),</w:t>
            </w: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6C18D64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Procedure codes</w:t>
            </w:r>
            <w:r w:rsidR="001D037D" w:rsidRPr="00EC60D8">
              <w:rPr>
                <w:rFonts w:eastAsia="Calibri" w:cs="Arial"/>
                <w:sz w:val="20"/>
                <w:szCs w:val="20"/>
                <w:lang w:val="en-GB"/>
              </w:rPr>
              <w:t>.</w:t>
            </w:r>
          </w:p>
          <w:p w14:paraId="0FE1E50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inpatient diagnosis or all procedures</w:t>
            </w:r>
          </w:p>
        </w:tc>
      </w:tr>
      <w:tr w:rsidR="001A4F7B" w:rsidRPr="00EC60D8" w14:paraId="7ACD8A32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27633D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7BB05037" w14:textId="77777777" w:rsidR="001A4F7B" w:rsidRPr="00EC60D8" w:rsidRDefault="001E7C1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Prior stroke or 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TIA</w:t>
            </w:r>
          </w:p>
        </w:tc>
        <w:tc>
          <w:tcPr>
            <w:tcW w:w="1119" w:type="pct"/>
          </w:tcPr>
          <w:p w14:paraId="3602514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430, 431, 432, 433.01, 433.11, 433.21, 433.31, 433.81, 433.91, 434, 435, 436, 437.0, 437.1</w:t>
            </w:r>
          </w:p>
        </w:tc>
        <w:tc>
          <w:tcPr>
            <w:tcW w:w="1110" w:type="pct"/>
          </w:tcPr>
          <w:p w14:paraId="11F40D7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</w:t>
            </w:r>
            <w:r w:rsidR="00C53129">
              <w:rPr>
                <w:rFonts w:eastAsia="Calibri" w:cs="Arial"/>
                <w:sz w:val="20"/>
                <w:szCs w:val="20"/>
                <w:lang w:val="en-GB"/>
              </w:rPr>
              <w:t>Start of diagnosis data (1993),</w:t>
            </w: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index admission date)</w:t>
            </w:r>
          </w:p>
        </w:tc>
        <w:tc>
          <w:tcPr>
            <w:tcW w:w="781" w:type="pct"/>
          </w:tcPr>
          <w:p w14:paraId="5AB4984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Do not include the index admission diagnoses.</w:t>
            </w:r>
          </w:p>
          <w:p w14:paraId="5D4352D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Any position in either all diagnosis or </w:t>
            </w:r>
            <w:r w:rsidRPr="00EC60D8">
              <w:rPr>
                <w:rFonts w:eastAsia="Calibri" w:cs="Arial"/>
                <w:sz w:val="20"/>
                <w:szCs w:val="20"/>
                <w:lang w:val="en-GB"/>
              </w:rPr>
              <w:lastRenderedPageBreak/>
              <w:t>inpatient diagnosis</w:t>
            </w:r>
          </w:p>
        </w:tc>
      </w:tr>
      <w:tr w:rsidR="001A4F7B" w:rsidRPr="00EC60D8" w14:paraId="134B3610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A3B91A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1A50A13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Prior MI</w:t>
            </w:r>
          </w:p>
        </w:tc>
        <w:tc>
          <w:tcPr>
            <w:tcW w:w="1119" w:type="pct"/>
          </w:tcPr>
          <w:p w14:paraId="2246A9F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410</w:t>
            </w:r>
          </w:p>
        </w:tc>
        <w:tc>
          <w:tcPr>
            <w:tcW w:w="1110" w:type="pct"/>
          </w:tcPr>
          <w:p w14:paraId="0BF3CF9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[Start of diagnosis data (1993), index admission date-</w:t>
            </w:r>
          </w:p>
        </w:tc>
        <w:tc>
          <w:tcPr>
            <w:tcW w:w="781" w:type="pct"/>
          </w:tcPr>
          <w:p w14:paraId="236F795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Do not include the index admission diagnoses.</w:t>
            </w:r>
          </w:p>
          <w:p w14:paraId="068E11B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 or inpatient diagnosis</w:t>
            </w:r>
          </w:p>
        </w:tc>
      </w:tr>
      <w:tr w:rsidR="001A4F7B" w:rsidRPr="00EC60D8" w14:paraId="3FC68447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4765B25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2377AC1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Prior PCI</w:t>
            </w:r>
          </w:p>
        </w:tc>
        <w:tc>
          <w:tcPr>
            <w:tcW w:w="1119" w:type="pct"/>
          </w:tcPr>
          <w:p w14:paraId="4111CB3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36.01-36.02, 36.05-36.07</w:t>
            </w:r>
          </w:p>
        </w:tc>
        <w:tc>
          <w:tcPr>
            <w:tcW w:w="1110" w:type="pct"/>
          </w:tcPr>
          <w:p w14:paraId="62ACF2A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</w:t>
            </w:r>
            <w:r w:rsidR="00C53129">
              <w:rPr>
                <w:rFonts w:eastAsia="Calibri" w:cs="Arial"/>
                <w:sz w:val="20"/>
                <w:szCs w:val="20"/>
                <w:lang w:val="en-GB"/>
              </w:rPr>
              <w:t>Start of procedure data (1993),</w:t>
            </w: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index admission date)]</w:t>
            </w:r>
          </w:p>
        </w:tc>
        <w:tc>
          <w:tcPr>
            <w:tcW w:w="781" w:type="pct"/>
          </w:tcPr>
          <w:p w14:paraId="1FE631C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Do not include the index admission diagnoses.</w:t>
            </w:r>
          </w:p>
          <w:p w14:paraId="5D0FBCB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inpatient diagnosis. Procedure date should occur prior to the index admission</w:t>
            </w:r>
          </w:p>
        </w:tc>
      </w:tr>
      <w:tr w:rsidR="001A4F7B" w:rsidRPr="00EC60D8" w14:paraId="413A8591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DCD778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0E703B4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Smoker</w:t>
            </w:r>
          </w:p>
        </w:tc>
        <w:tc>
          <w:tcPr>
            <w:tcW w:w="1119" w:type="pct"/>
          </w:tcPr>
          <w:p w14:paraId="02A00C7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305.1, V15.82, V15.83, 649.0</w:t>
            </w:r>
          </w:p>
          <w:p w14:paraId="5109C3C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P17</w:t>
            </w:r>
          </w:p>
        </w:tc>
        <w:tc>
          <w:tcPr>
            <w:tcW w:w="1110" w:type="pct"/>
          </w:tcPr>
          <w:p w14:paraId="7EA8B81B" w14:textId="77777777" w:rsidR="001A4F7B" w:rsidRPr="00EC60D8" w:rsidRDefault="00C53129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29ABDC9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diagnosis, inpatient diagnosis, outpatient diagnosis</w:t>
            </w:r>
          </w:p>
        </w:tc>
      </w:tr>
      <w:tr w:rsidR="001A4F7B" w:rsidRPr="00EC60D8" w14:paraId="6846ABB1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7D22D70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3CA1039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Kidney disease</w:t>
            </w:r>
          </w:p>
        </w:tc>
        <w:tc>
          <w:tcPr>
            <w:tcW w:w="1119" w:type="pct"/>
          </w:tcPr>
          <w:p w14:paraId="081360B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403.01, 403.11, 403.91, 404.02, 404.03, 404.12, 404.13, 404.92, 404.93, 582, 583.0-583.7, 585, 586, 588.0, V42.0, V45.1, V56</w:t>
            </w:r>
          </w:p>
          <w:p w14:paraId="6A713FE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U99</w:t>
            </w:r>
          </w:p>
        </w:tc>
        <w:tc>
          <w:tcPr>
            <w:tcW w:w="1110" w:type="pct"/>
          </w:tcPr>
          <w:p w14:paraId="15ADD724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49233F7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diagnosis, inpatient diagnosis, outpatient diagnosis</w:t>
            </w:r>
          </w:p>
        </w:tc>
      </w:tr>
      <w:tr w:rsidR="001A4F7B" w:rsidRPr="00EC60D8" w14:paraId="6AB1A1E5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7A35A1F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7693FD9C" w14:textId="77777777" w:rsidR="001A4F7B" w:rsidRPr="00EC60D8" w:rsidRDefault="001D037D" w:rsidP="001D037D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Peripheral artery disease</w:t>
            </w:r>
          </w:p>
        </w:tc>
        <w:tc>
          <w:tcPr>
            <w:tcW w:w="1119" w:type="pct"/>
          </w:tcPr>
          <w:p w14:paraId="26754B6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440, 443.9</w:t>
            </w:r>
          </w:p>
          <w:p w14:paraId="7CD9658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K92</w:t>
            </w:r>
          </w:p>
        </w:tc>
        <w:tc>
          <w:tcPr>
            <w:tcW w:w="1110" w:type="pct"/>
          </w:tcPr>
          <w:p w14:paraId="3B19136F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4C0B5B12" w14:textId="77777777" w:rsidR="001A4F7B" w:rsidRPr="00EC60D8" w:rsidRDefault="001A4F7B" w:rsidP="000607D0">
            <w:pPr>
              <w:tabs>
                <w:tab w:val="left" w:pos="945"/>
              </w:tabs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Any position in either all diagnosis, inpatient diagnosis, outpatient diagnosis</w:t>
            </w:r>
          </w:p>
        </w:tc>
      </w:tr>
      <w:tr w:rsidR="001A4F7B" w:rsidRPr="00EC60D8" w14:paraId="6992C6AA" w14:textId="77777777" w:rsidTr="00B90F4B">
        <w:trPr>
          <w:gridAfter w:val="1"/>
          <w:wAfter w:w="781" w:type="pct"/>
          <w:trHeight w:val="292"/>
          <w:jc w:val="center"/>
        </w:trPr>
        <w:tc>
          <w:tcPr>
            <w:tcW w:w="933" w:type="pct"/>
          </w:tcPr>
          <w:p w14:paraId="3B9CBEA9" w14:textId="77777777" w:rsidR="001A4F7B" w:rsidRPr="00EC60D8" w:rsidRDefault="001A4F7B" w:rsidP="000607D0">
            <w:pPr>
              <w:rPr>
                <w:rFonts w:eastAsia="Calibri" w:cs="Arial"/>
                <w:b/>
                <w:i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i/>
                <w:sz w:val="20"/>
                <w:szCs w:val="20"/>
                <w:lang w:val="en-GB"/>
              </w:rPr>
              <w:t>Prescriptions</w:t>
            </w:r>
          </w:p>
        </w:tc>
        <w:tc>
          <w:tcPr>
            <w:tcW w:w="1057" w:type="pct"/>
          </w:tcPr>
          <w:p w14:paraId="074B2587" w14:textId="77777777" w:rsidR="001A4F7B" w:rsidRPr="00EC60D8" w:rsidRDefault="001A4F7B" w:rsidP="000607D0">
            <w:pPr>
              <w:rPr>
                <w:rFonts w:eastAsia="Calibri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119" w:type="pct"/>
          </w:tcPr>
          <w:p w14:paraId="68EB4E22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b/>
                <w:i/>
                <w:sz w:val="20"/>
                <w:szCs w:val="20"/>
                <w:lang w:val="en-GB"/>
              </w:rPr>
              <w:t>BNF Section/Drug Name</w:t>
            </w:r>
          </w:p>
        </w:tc>
        <w:tc>
          <w:tcPr>
            <w:tcW w:w="1110" w:type="pct"/>
          </w:tcPr>
          <w:p w14:paraId="262160F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3EB9ADD8" w14:textId="77777777" w:rsidTr="005C6675">
        <w:trPr>
          <w:trHeight w:val="292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3EDC5228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Baseline prescriptions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25489FA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Lipid-modifying drugs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6E226CD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2.12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39B64867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2104583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3965D9FC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744F0C3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17945E2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Antiplatelet drugs</w:t>
            </w:r>
          </w:p>
        </w:tc>
        <w:tc>
          <w:tcPr>
            <w:tcW w:w="1119" w:type="pct"/>
          </w:tcPr>
          <w:p w14:paraId="31ED567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2.9</w:t>
            </w:r>
          </w:p>
        </w:tc>
        <w:tc>
          <w:tcPr>
            <w:tcW w:w="1110" w:type="pct"/>
          </w:tcPr>
          <w:p w14:paraId="791BBC18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380BD7E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56FC004C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13686D1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282CFAD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Antihypertensive drugs</w:t>
            </w:r>
          </w:p>
        </w:tc>
        <w:tc>
          <w:tcPr>
            <w:tcW w:w="1119" w:type="pct"/>
          </w:tcPr>
          <w:p w14:paraId="609F155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2.2.3, 2.2.4, 2.4, 2.5.2, 2.5.4, 2.5.5.1, 2.5.5.2, 2.5.5.3, 2.6.2</w:t>
            </w:r>
          </w:p>
        </w:tc>
        <w:tc>
          <w:tcPr>
            <w:tcW w:w="1110" w:type="pct"/>
          </w:tcPr>
          <w:p w14:paraId="52039123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6DE3CB5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08B37A1E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1CA4590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67F806D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Antidiabetic drugs</w:t>
            </w:r>
          </w:p>
        </w:tc>
        <w:tc>
          <w:tcPr>
            <w:tcW w:w="1119" w:type="pct"/>
          </w:tcPr>
          <w:p w14:paraId="312BEAE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6.1.1.1, 6.1.1.2, 6.1.2.1, 6.1.2.2, 6.1.2.3</w:t>
            </w:r>
          </w:p>
        </w:tc>
        <w:tc>
          <w:tcPr>
            <w:tcW w:w="1110" w:type="pct"/>
          </w:tcPr>
          <w:p w14:paraId="7CE09176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4E39566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322D2A56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6860912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5BAEB26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Statins</w:t>
            </w:r>
          </w:p>
        </w:tc>
        <w:tc>
          <w:tcPr>
            <w:tcW w:w="1119" w:type="pct"/>
          </w:tcPr>
          <w:p w14:paraId="5800178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atorvastatin (also caduet)</w:t>
            </w:r>
          </w:p>
          <w:p w14:paraId="1694642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rosuvastatin</w:t>
            </w:r>
          </w:p>
          <w:p w14:paraId="55D2DD2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simvastatin (also vytorin)</w:t>
            </w:r>
          </w:p>
          <w:p w14:paraId="157BB2E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pravastatin</w:t>
            </w:r>
          </w:p>
          <w:p w14:paraId="458A500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lovastatin</w:t>
            </w:r>
          </w:p>
          <w:p w14:paraId="662D2B2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fluvastatin</w:t>
            </w:r>
          </w:p>
        </w:tc>
        <w:tc>
          <w:tcPr>
            <w:tcW w:w="1110" w:type="pct"/>
          </w:tcPr>
          <w:p w14:paraId="6DDC843A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3FC98CD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20B0FA8B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09BE065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5A066DC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Statins, high-intensity</w:t>
            </w:r>
          </w:p>
        </w:tc>
        <w:tc>
          <w:tcPr>
            <w:tcW w:w="1119" w:type="pct"/>
          </w:tcPr>
          <w:p w14:paraId="43AD74C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atorvastatin &gt;20 mg/day</w:t>
            </w:r>
          </w:p>
          <w:p w14:paraId="706502A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rosuvastatin &gt;10 mg/day</w:t>
            </w:r>
          </w:p>
          <w:p w14:paraId="6E249CA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simvastatin &gt;40 mg/day</w:t>
            </w:r>
          </w:p>
        </w:tc>
        <w:tc>
          <w:tcPr>
            <w:tcW w:w="1110" w:type="pct"/>
          </w:tcPr>
          <w:p w14:paraId="0D99E160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 w:val="restart"/>
          </w:tcPr>
          <w:p w14:paraId="6367D05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62EBB8AA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408864E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4B94243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Statins, moderate-intensity</w:t>
            </w:r>
          </w:p>
        </w:tc>
        <w:tc>
          <w:tcPr>
            <w:tcW w:w="1119" w:type="pct"/>
          </w:tcPr>
          <w:p w14:paraId="0D3F6A6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atorvastatin ≤20 mg/day</w:t>
            </w:r>
          </w:p>
          <w:p w14:paraId="54E2431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rosuvastatin ≤10 mg/day simvastatin &gt;10 to ≤40 mg/day</w:t>
            </w:r>
          </w:p>
          <w:p w14:paraId="0733C5D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pravastatin &gt;20 mg/day</w:t>
            </w:r>
          </w:p>
          <w:p w14:paraId="683A44D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lovastatin &gt;20 mg/day</w:t>
            </w:r>
          </w:p>
          <w:p w14:paraId="1E70B81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fluvastatin &gt;40 mg/day</w:t>
            </w:r>
          </w:p>
        </w:tc>
        <w:tc>
          <w:tcPr>
            <w:tcW w:w="1110" w:type="pct"/>
          </w:tcPr>
          <w:p w14:paraId="6554049A" w14:textId="77777777" w:rsidR="001A4F7B" w:rsidRPr="00EC60D8" w:rsidRDefault="00856A5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</w:tcPr>
          <w:p w14:paraId="6341808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28DD9DAB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08184FD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27BC9FA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Statins, low-intensity</w:t>
            </w:r>
          </w:p>
        </w:tc>
        <w:tc>
          <w:tcPr>
            <w:tcW w:w="1119" w:type="pct"/>
          </w:tcPr>
          <w:p w14:paraId="0A45F01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simvastatin ≤10 mg/day </w:t>
            </w:r>
          </w:p>
          <w:p w14:paraId="38183FB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pravastatin ≤20 mg/day </w:t>
            </w:r>
          </w:p>
          <w:p w14:paraId="1551A43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lovastatin ≤20 mg/day </w:t>
            </w:r>
          </w:p>
          <w:p w14:paraId="78152C5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fluvastatin ≤40 mg/day</w:t>
            </w:r>
          </w:p>
        </w:tc>
        <w:tc>
          <w:tcPr>
            <w:tcW w:w="1110" w:type="pct"/>
          </w:tcPr>
          <w:p w14:paraId="5F53E4F1" w14:textId="77777777" w:rsidR="001A4F7B" w:rsidRPr="00EC60D8" w:rsidRDefault="0030169A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</w:tcPr>
          <w:p w14:paraId="3082E6D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3B4A6AEA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58F6765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0227FEC5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Ezetimibe</w:t>
            </w:r>
          </w:p>
        </w:tc>
        <w:tc>
          <w:tcPr>
            <w:tcW w:w="1119" w:type="pct"/>
          </w:tcPr>
          <w:p w14:paraId="5365806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ezetimibe (also Vytorin)</w:t>
            </w:r>
          </w:p>
        </w:tc>
        <w:tc>
          <w:tcPr>
            <w:tcW w:w="1110" w:type="pct"/>
          </w:tcPr>
          <w:p w14:paraId="77FB5857" w14:textId="77777777" w:rsidR="001A4F7B" w:rsidRPr="00EC60D8" w:rsidRDefault="009B2CC1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 w:val="restart"/>
          </w:tcPr>
          <w:p w14:paraId="0078F48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3D9461D5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0F4547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285A680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Fibrate</w:t>
            </w:r>
          </w:p>
        </w:tc>
        <w:tc>
          <w:tcPr>
            <w:tcW w:w="1119" w:type="pct"/>
          </w:tcPr>
          <w:p w14:paraId="2F54960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bezafibrate</w:t>
            </w:r>
          </w:p>
          <w:p w14:paraId="5B0B5B3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fenofibrate</w:t>
            </w:r>
          </w:p>
          <w:p w14:paraId="5DB6FEF5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gemfibrozil</w:t>
            </w:r>
          </w:p>
        </w:tc>
        <w:tc>
          <w:tcPr>
            <w:tcW w:w="1110" w:type="pct"/>
          </w:tcPr>
          <w:p w14:paraId="505FDCC3" w14:textId="77777777" w:rsidR="001A4F7B" w:rsidRPr="00EC60D8" w:rsidRDefault="008824BE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</w:tcPr>
          <w:p w14:paraId="08A503E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1D6F5592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0079EDD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60A61331" w14:textId="77777777" w:rsidR="001A4F7B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Bile acid sequestrants</w:t>
            </w:r>
          </w:p>
        </w:tc>
        <w:tc>
          <w:tcPr>
            <w:tcW w:w="1119" w:type="pct"/>
          </w:tcPr>
          <w:p w14:paraId="5E3B2095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cholestyramine</w:t>
            </w:r>
          </w:p>
        </w:tc>
        <w:tc>
          <w:tcPr>
            <w:tcW w:w="1110" w:type="pct"/>
          </w:tcPr>
          <w:p w14:paraId="1D5DDB02" w14:textId="77777777" w:rsidR="001A4F7B" w:rsidRPr="00EC60D8" w:rsidRDefault="008824BE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</w:tcPr>
          <w:p w14:paraId="34A79E4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22442191" w14:textId="77777777" w:rsidTr="005C6675">
        <w:trPr>
          <w:trHeight w:val="370"/>
          <w:jc w:val="center"/>
        </w:trPr>
        <w:tc>
          <w:tcPr>
            <w:tcW w:w="933" w:type="pct"/>
            <w:vMerge/>
          </w:tcPr>
          <w:p w14:paraId="533284B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541AA05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PCSK9 inhibitor</w:t>
            </w:r>
          </w:p>
        </w:tc>
        <w:tc>
          <w:tcPr>
            <w:tcW w:w="1119" w:type="pct"/>
          </w:tcPr>
          <w:p w14:paraId="1C873D5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alirocumab</w:t>
            </w:r>
          </w:p>
          <w:p w14:paraId="0B48405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evolocumab</w:t>
            </w:r>
          </w:p>
        </w:tc>
        <w:tc>
          <w:tcPr>
            <w:tcW w:w="1110" w:type="pct"/>
          </w:tcPr>
          <w:p w14:paraId="6DD9235E" w14:textId="77777777" w:rsidR="001A4F7B" w:rsidRPr="00EC60D8" w:rsidRDefault="00AA5FA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</w:tcPr>
          <w:p w14:paraId="3E2EBE3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3CDC197A" w14:textId="77777777" w:rsidTr="005C6675">
        <w:trPr>
          <w:trHeight w:val="292"/>
          <w:jc w:val="center"/>
        </w:trPr>
        <w:tc>
          <w:tcPr>
            <w:tcW w:w="933" w:type="pct"/>
            <w:vMerge/>
            <w:tcBorders>
              <w:bottom w:val="single" w:sz="4" w:space="0" w:color="auto"/>
            </w:tcBorders>
          </w:tcPr>
          <w:p w14:paraId="2AC88C7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6AC2AF4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Statin and nonstatin 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49CB8AD7" w14:textId="77777777" w:rsidR="001A4F7B" w:rsidRPr="00EC60D8" w:rsidRDefault="001A4F7B" w:rsidP="0086537F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Prescription for a statin and a nonstatin (i.e. ezetimibe, fibrate, </w:t>
            </w:r>
            <w:r w:rsidR="0086537F" w:rsidRPr="00EC60D8">
              <w:rPr>
                <w:rFonts w:eastAsia="Calibri" w:cs="Arial"/>
                <w:sz w:val="20"/>
                <w:szCs w:val="20"/>
                <w:lang w:val="en-GB"/>
              </w:rPr>
              <w:t>bile acid sequestrant</w:t>
            </w: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, PCSK9 inhibitor)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209A3598" w14:textId="77777777" w:rsidR="001A4F7B" w:rsidRPr="00EC60D8" w:rsidRDefault="001C52A3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5706D9B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0369D779" w14:textId="77777777" w:rsidTr="005C6675">
        <w:trPr>
          <w:trHeight w:val="292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62CA33C9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 xml:space="preserve">TIMI Risk Score 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0231976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TRS 2°P hypertension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438983F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Either a diagnosis code of hypertension or an antihypertensive drug prescription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0D993E48" w14:textId="77777777" w:rsidR="001A4F7B" w:rsidRPr="00EC60D8" w:rsidRDefault="00A71197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4AF7119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06B61B65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0E7BF0B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43CF237B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TRS 2°P diabetes mellitus (DM)</w:t>
            </w:r>
          </w:p>
        </w:tc>
        <w:tc>
          <w:tcPr>
            <w:tcW w:w="1119" w:type="pct"/>
          </w:tcPr>
          <w:p w14:paraId="7C90EE9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Either a diagnosis code of diabetes or an antidiabetic drug prescription</w:t>
            </w:r>
          </w:p>
        </w:tc>
        <w:tc>
          <w:tcPr>
            <w:tcW w:w="1110" w:type="pct"/>
          </w:tcPr>
          <w:p w14:paraId="5F1DE694" w14:textId="77777777" w:rsidR="001A4F7B" w:rsidRPr="00EC60D8" w:rsidRDefault="008A103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19239FC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54208F8D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1345B3B5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740BDB3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TRS 2°P age</w:t>
            </w:r>
          </w:p>
        </w:tc>
        <w:tc>
          <w:tcPr>
            <w:tcW w:w="1119" w:type="pct"/>
          </w:tcPr>
          <w:p w14:paraId="05E5396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Age on index date ≥ 75</w:t>
            </w:r>
          </w:p>
        </w:tc>
        <w:tc>
          <w:tcPr>
            <w:tcW w:w="1110" w:type="pct"/>
          </w:tcPr>
          <w:p w14:paraId="45D8D4DA" w14:textId="77777777" w:rsidR="001A4F7B" w:rsidRPr="00EC60D8" w:rsidRDefault="008A103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[0,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2A6A894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7C1E6368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0030079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4DA0E16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TRS 2°P eGFR &lt;60 ml/min</w:t>
            </w:r>
          </w:p>
        </w:tc>
        <w:tc>
          <w:tcPr>
            <w:tcW w:w="1119" w:type="pct"/>
          </w:tcPr>
          <w:p w14:paraId="2FF3542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Present if measured creatinine clearance is &lt; 60, or estimated eGFR (MDRD) is &lt; 60 or presence of kidney disease covariate (diagnosis codes)</w:t>
            </w:r>
          </w:p>
        </w:tc>
        <w:tc>
          <w:tcPr>
            <w:tcW w:w="1110" w:type="pct"/>
          </w:tcPr>
          <w:p w14:paraId="24F04572" w14:textId="77777777" w:rsidR="001A4F7B" w:rsidRPr="00EC60D8" w:rsidRDefault="008A103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</w:tcPr>
          <w:p w14:paraId="30A4E1C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Use lab tests for creatinine clearance or serum creatinine first, then diagnosis of kidney disease.</w:t>
            </w:r>
          </w:p>
          <w:p w14:paraId="4075A3E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7E8F44F4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4D8825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710D43A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TIMI risk score for secondary prevention</w:t>
            </w:r>
          </w:p>
        </w:tc>
        <w:tc>
          <w:tcPr>
            <w:tcW w:w="1119" w:type="pct"/>
          </w:tcPr>
          <w:p w14:paraId="24E96E2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Sum all risk factors (use specific TRS 2°P covariates for classification of diabetes mellitus, hypertension, age, and eGFR)</w:t>
            </w:r>
          </w:p>
        </w:tc>
        <w:tc>
          <w:tcPr>
            <w:tcW w:w="1110" w:type="pct"/>
          </w:tcPr>
          <w:p w14:paraId="2A32C99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</w:tcPr>
          <w:p w14:paraId="796DA63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0EFA0001" w14:textId="77777777" w:rsidTr="005C6675">
        <w:trPr>
          <w:trHeight w:val="292"/>
          <w:jc w:val="center"/>
        </w:trPr>
        <w:tc>
          <w:tcPr>
            <w:tcW w:w="933" w:type="pct"/>
            <w:vMerge/>
            <w:tcBorders>
              <w:bottom w:val="single" w:sz="4" w:space="0" w:color="auto"/>
            </w:tcBorders>
          </w:tcPr>
          <w:p w14:paraId="595539E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359B371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TRS 2°P categories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1E9D8E4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[0,1), [1,2), [2,3), [3,8]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1D69001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6035E75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D45EBD" w:rsidRPr="00EC60D8" w14:paraId="07A2C742" w14:textId="77777777" w:rsidTr="005C6675">
        <w:trPr>
          <w:trHeight w:val="1898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27DEEDB2" w14:textId="77777777" w:rsidR="00D45EBD" w:rsidRPr="00EC60D8" w:rsidRDefault="00D45EBD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Demographics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2E519C82" w14:textId="77777777" w:rsidR="00D45EBD" w:rsidRPr="00EC60D8" w:rsidRDefault="00234497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Hospital authority </w:t>
            </w:r>
            <w:r w:rsidR="00D45EBD" w:rsidRPr="00EC60D8">
              <w:rPr>
                <w:rFonts w:eastAsia="Calibri" w:cs="Arial"/>
                <w:sz w:val="20"/>
                <w:szCs w:val="20"/>
                <w:lang w:val="en-GB"/>
              </w:rPr>
              <w:t>cluster</w:t>
            </w:r>
            <w:r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of residence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0BEDEEB6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</w:tcPr>
          <w:p w14:paraId="41EB7A88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Closest to index date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01C89903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Selected from outpatient attendance nearest the index date. If multiple attendances, select the one on or prior index date. If missing from outpatient, select from A&amp;E attendance on or nearest index date.</w:t>
            </w:r>
          </w:p>
        </w:tc>
      </w:tr>
      <w:tr w:rsidR="00D45EBD" w:rsidRPr="00EC60D8" w14:paraId="41EE3A19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0AC2E72E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722B7CA8" w14:textId="77777777" w:rsidR="00D45EBD" w:rsidRPr="00EC60D8" w:rsidRDefault="00234497" w:rsidP="00953F5B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N</w:t>
            </w:r>
            <w:r w:rsidR="00953F5B" w:rsidRPr="00EC60D8">
              <w:rPr>
                <w:rFonts w:eastAsia="Calibri" w:cs="Arial"/>
                <w:sz w:val="20"/>
                <w:szCs w:val="20"/>
                <w:lang w:val="en-GB"/>
              </w:rPr>
              <w:t>ationality</w:t>
            </w:r>
          </w:p>
        </w:tc>
        <w:tc>
          <w:tcPr>
            <w:tcW w:w="1119" w:type="pct"/>
          </w:tcPr>
          <w:p w14:paraId="095A2961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Classified into Chinese, other, or missing (missing or recorded as unknown)</w:t>
            </w:r>
          </w:p>
        </w:tc>
        <w:tc>
          <w:tcPr>
            <w:tcW w:w="1110" w:type="pct"/>
            <w:vMerge/>
          </w:tcPr>
          <w:p w14:paraId="62F233D8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/>
          </w:tcPr>
          <w:p w14:paraId="00BBDBDC" w14:textId="77777777" w:rsidR="00D45EBD" w:rsidRPr="00EC60D8" w:rsidRDefault="00D45EBD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5AEDF373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6B37AD3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51FE18D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Age on index date</w:t>
            </w:r>
          </w:p>
        </w:tc>
        <w:tc>
          <w:tcPr>
            <w:tcW w:w="1119" w:type="pct"/>
          </w:tcPr>
          <w:p w14:paraId="1C0C9B2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Difference between date of birth and index date / 365.25</w:t>
            </w:r>
          </w:p>
        </w:tc>
        <w:tc>
          <w:tcPr>
            <w:tcW w:w="1110" w:type="pct"/>
          </w:tcPr>
          <w:p w14:paraId="2AA8B18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Index date</w:t>
            </w:r>
          </w:p>
        </w:tc>
        <w:tc>
          <w:tcPr>
            <w:tcW w:w="781" w:type="pct"/>
          </w:tcPr>
          <w:p w14:paraId="24AEA49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00744F98" w14:textId="77777777" w:rsidTr="005C6675">
        <w:trPr>
          <w:trHeight w:val="292"/>
          <w:jc w:val="center"/>
        </w:trPr>
        <w:tc>
          <w:tcPr>
            <w:tcW w:w="933" w:type="pct"/>
            <w:vMerge/>
            <w:tcBorders>
              <w:bottom w:val="single" w:sz="4" w:space="0" w:color="auto"/>
            </w:tcBorders>
          </w:tcPr>
          <w:p w14:paraId="75A1698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4C5954D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1A18104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M/F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28351D4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Index date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18B204F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5BB997C7" w14:textId="77777777" w:rsidTr="005C6675">
        <w:trPr>
          <w:trHeight w:val="292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091E3CFC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Laboratory tests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68163CF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total cholesterol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382D44D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mmol/L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</w:tcPr>
          <w:p w14:paraId="3BB655A1" w14:textId="77777777" w:rsidR="001A4F7B" w:rsidRPr="00EC60D8" w:rsidRDefault="00355491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[index admission date,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14:paraId="5CFFC87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Latest result in window. If multiple results, arithmetic mean of results nearest index date.</w:t>
            </w:r>
          </w:p>
        </w:tc>
      </w:tr>
      <w:tr w:rsidR="001A4F7B" w:rsidRPr="00EC60D8" w14:paraId="2BE88AD6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7A008960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01A3312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HDL-C</w:t>
            </w:r>
          </w:p>
        </w:tc>
        <w:tc>
          <w:tcPr>
            <w:tcW w:w="1119" w:type="pct"/>
          </w:tcPr>
          <w:p w14:paraId="6CA12949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mmol/L</w:t>
            </w:r>
          </w:p>
        </w:tc>
        <w:tc>
          <w:tcPr>
            <w:tcW w:w="1110" w:type="pct"/>
            <w:vMerge/>
          </w:tcPr>
          <w:p w14:paraId="7DB9D55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/>
          </w:tcPr>
          <w:p w14:paraId="5D3A981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29418F19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1322F23C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3EB3AE0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non-HDL-C</w:t>
            </w:r>
          </w:p>
        </w:tc>
        <w:tc>
          <w:tcPr>
            <w:tcW w:w="1119" w:type="pct"/>
          </w:tcPr>
          <w:p w14:paraId="0E273DC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mmol/L; if missing calculated as total cholesterol − HDL-C</w:t>
            </w:r>
          </w:p>
        </w:tc>
        <w:tc>
          <w:tcPr>
            <w:tcW w:w="1110" w:type="pct"/>
            <w:vMerge/>
          </w:tcPr>
          <w:p w14:paraId="12798D8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/>
          </w:tcPr>
          <w:p w14:paraId="5C3646A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14665816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531B736B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5F27B8B2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triglycerides</w:t>
            </w:r>
          </w:p>
        </w:tc>
        <w:tc>
          <w:tcPr>
            <w:tcW w:w="1119" w:type="pct"/>
          </w:tcPr>
          <w:p w14:paraId="11E562ED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mmol/L</w:t>
            </w:r>
          </w:p>
        </w:tc>
        <w:tc>
          <w:tcPr>
            <w:tcW w:w="1110" w:type="pct"/>
            <w:vMerge/>
          </w:tcPr>
          <w:p w14:paraId="2810E4E8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vMerge/>
          </w:tcPr>
          <w:p w14:paraId="2B2A64B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082D31B8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354DFFC9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0C5A99E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serum creatinine</w:t>
            </w:r>
          </w:p>
        </w:tc>
        <w:tc>
          <w:tcPr>
            <w:tcW w:w="1119" w:type="pct"/>
          </w:tcPr>
          <w:p w14:paraId="0ACF5BF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umol/L</w:t>
            </w:r>
          </w:p>
        </w:tc>
        <w:tc>
          <w:tcPr>
            <w:tcW w:w="1110" w:type="pct"/>
          </w:tcPr>
          <w:p w14:paraId="50079773" w14:textId="77777777" w:rsidR="001A4F7B" w:rsidRPr="00EC60D8" w:rsidRDefault="00495B0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vMerge/>
          </w:tcPr>
          <w:p w14:paraId="4E4A01A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432801EA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48D9041C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487F7CB7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creatinine clearance</w:t>
            </w:r>
          </w:p>
        </w:tc>
        <w:tc>
          <w:tcPr>
            <w:tcW w:w="1119" w:type="pct"/>
          </w:tcPr>
          <w:p w14:paraId="5DE04A7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mL/min</w:t>
            </w:r>
          </w:p>
        </w:tc>
        <w:tc>
          <w:tcPr>
            <w:tcW w:w="1110" w:type="pct"/>
          </w:tcPr>
          <w:p w14:paraId="0095130B" w14:textId="77777777" w:rsidR="001A4F7B" w:rsidRPr="00EC60D8" w:rsidRDefault="00495B0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[-365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0]</w:t>
            </w:r>
          </w:p>
        </w:tc>
        <w:tc>
          <w:tcPr>
            <w:tcW w:w="781" w:type="pct"/>
            <w:vMerge/>
          </w:tcPr>
          <w:p w14:paraId="72084ABC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1A4F7B" w:rsidRPr="00EC60D8" w14:paraId="5F569B09" w14:textId="77777777" w:rsidTr="005C6675">
        <w:trPr>
          <w:trHeight w:val="292"/>
          <w:jc w:val="center"/>
        </w:trPr>
        <w:tc>
          <w:tcPr>
            <w:tcW w:w="933" w:type="pct"/>
            <w:vMerge/>
            <w:tcBorders>
              <w:bottom w:val="single" w:sz="4" w:space="0" w:color="auto"/>
            </w:tcBorders>
          </w:tcPr>
          <w:p w14:paraId="70DE3783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14:paraId="18047DB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One LDL-C result within inclusion window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7F56FF1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4784DEA3" w14:textId="77777777" w:rsidR="001A4F7B" w:rsidRPr="00EC60D8" w:rsidRDefault="00495B0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[index admission date,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365]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F5DDF9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Inclusion criteria</w:t>
            </w:r>
          </w:p>
        </w:tc>
      </w:tr>
      <w:tr w:rsidR="001A4F7B" w:rsidRPr="00EC60D8" w14:paraId="450CC549" w14:textId="77777777" w:rsidTr="005C6675">
        <w:trPr>
          <w:trHeight w:val="292"/>
          <w:jc w:val="center"/>
        </w:trPr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18868E8D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</w:tcPr>
          <w:p w14:paraId="7D17685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Baseline LDL-C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060C0AB6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mmol/L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1703A7E2" w14:textId="77777777" w:rsidR="001A4F7B" w:rsidRPr="00EC60D8" w:rsidRDefault="008F79C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[index admission date,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0]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24C52A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Latest result in window. If multiple results, arithmetic mean of results nearest index date.</w:t>
            </w:r>
          </w:p>
        </w:tc>
      </w:tr>
      <w:tr w:rsidR="001A4F7B" w:rsidRPr="00EC60D8" w14:paraId="21C54D7D" w14:textId="77777777" w:rsidTr="005C6675">
        <w:trPr>
          <w:trHeight w:val="292"/>
          <w:jc w:val="center"/>
        </w:trPr>
        <w:tc>
          <w:tcPr>
            <w:tcW w:w="933" w:type="pct"/>
            <w:vMerge w:val="restart"/>
            <w:tcBorders>
              <w:top w:val="single" w:sz="4" w:space="0" w:color="auto"/>
            </w:tcBorders>
          </w:tcPr>
          <w:p w14:paraId="15F966D4" w14:textId="77777777" w:rsidR="001A4F7B" w:rsidRPr="00EC60D8" w:rsidRDefault="001A4F7B" w:rsidP="000607D0">
            <w:pPr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b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057" w:type="pct"/>
            <w:tcBorders>
              <w:top w:val="single" w:sz="4" w:space="0" w:color="auto"/>
            </w:tcBorders>
          </w:tcPr>
          <w:p w14:paraId="1BEA8D50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LDL-C concentration within each follow-up window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103BF5AE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mmol/L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674CCFDA" w14:textId="77777777" w:rsidR="001A4F7B" w:rsidRPr="00EC60D8" w:rsidRDefault="009C1F5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[1,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30]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(</w:t>
            </w:r>
            <w:r w:rsidR="003E2521" w:rsidRPr="00EC60D8">
              <w:rPr>
                <w:rFonts w:eastAsia="Calibri" w:cs="Arial"/>
                <w:sz w:val="20"/>
                <w:szCs w:val="20"/>
                <w:lang w:val="en-GB"/>
              </w:rPr>
              <w:t>30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3E2521" w:rsidRPr="00EC60D8">
              <w:rPr>
                <w:rFonts w:eastAsia="Calibri" w:cs="Arial"/>
                <w:sz w:val="20"/>
                <w:szCs w:val="20"/>
                <w:lang w:val="en-GB"/>
              </w:rPr>
              <w:t>days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>)</w:t>
            </w:r>
          </w:p>
          <w:p w14:paraId="08CECE84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[31,90]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(</w:t>
            </w:r>
            <w:r w:rsidR="003E2521" w:rsidRPr="00EC60D8">
              <w:rPr>
                <w:rFonts w:eastAsia="Calibri" w:cs="Arial"/>
                <w:sz w:val="20"/>
                <w:szCs w:val="20"/>
                <w:lang w:val="en-GB"/>
              </w:rPr>
              <w:t>90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3E2521" w:rsidRPr="00EC60D8">
              <w:rPr>
                <w:rFonts w:eastAsia="Calibri" w:cs="Arial"/>
                <w:sz w:val="20"/>
                <w:szCs w:val="20"/>
                <w:lang w:val="en-GB"/>
              </w:rPr>
              <w:t>days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>)</w:t>
            </w:r>
          </w:p>
          <w:p w14:paraId="00D55C26" w14:textId="77777777" w:rsidR="001A4F7B" w:rsidRPr="00EC60D8" w:rsidRDefault="009C1F5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[91,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180]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(</w:t>
            </w:r>
            <w:r w:rsidR="003E2521" w:rsidRPr="00EC60D8">
              <w:rPr>
                <w:rFonts w:eastAsia="Calibri" w:cs="Arial"/>
                <w:sz w:val="20"/>
                <w:szCs w:val="20"/>
                <w:lang w:val="en-GB"/>
              </w:rPr>
              <w:t>180 days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>)</w:t>
            </w:r>
          </w:p>
          <w:p w14:paraId="143CC824" w14:textId="77777777" w:rsidR="001A4F7B" w:rsidRPr="00EC60D8" w:rsidRDefault="009C1F5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[181,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>365]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(</w:t>
            </w:r>
            <w:r w:rsidR="003E2521" w:rsidRPr="00EC60D8">
              <w:rPr>
                <w:rFonts w:eastAsia="Calibri" w:cs="Arial"/>
                <w:sz w:val="20"/>
                <w:szCs w:val="20"/>
                <w:lang w:val="en-GB"/>
              </w:rPr>
              <w:t>365 days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>)</w:t>
            </w:r>
          </w:p>
          <w:p w14:paraId="7AD6D89B" w14:textId="77777777" w:rsidR="001A4F7B" w:rsidRPr="00EC60D8" w:rsidRDefault="009C1F5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sz w:val="20"/>
                <w:szCs w:val="20"/>
                <w:lang w:val="en-GB"/>
              </w:rPr>
              <w:t>[1,</w:t>
            </w:r>
            <w:r w:rsidR="001A4F7B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365] </w:t>
            </w:r>
            <w:r w:rsidR="000266CB" w:rsidRPr="00EC60D8">
              <w:rPr>
                <w:rFonts w:eastAsia="Calibri" w:cs="Arial"/>
                <w:sz w:val="20"/>
                <w:szCs w:val="20"/>
                <w:lang w:val="en-GB"/>
              </w:rPr>
              <w:t>(any time)</w:t>
            </w:r>
          </w:p>
          <w:p w14:paraId="1F409B3F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0C909589" w14:textId="77777777" w:rsidR="001A4F7B" w:rsidRPr="00EC60D8" w:rsidRDefault="005C6675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5C6675">
              <w:rPr>
                <w:rFonts w:eastAsia="Calibri" w:cs="Arial"/>
                <w:sz w:val="20"/>
                <w:szCs w:val="20"/>
                <w:lang w:val="en-GB"/>
              </w:rPr>
              <w:t>Latest result in window. If multiple results, arithmetic mean of results</w:t>
            </w:r>
            <w:r>
              <w:rPr>
                <w:rFonts w:eastAsia="Calibri" w:cs="Arial"/>
                <w:sz w:val="20"/>
                <w:szCs w:val="20"/>
                <w:lang w:val="en-GB"/>
              </w:rPr>
              <w:t xml:space="preserve"> farthest away from index date.</w:t>
            </w:r>
          </w:p>
        </w:tc>
      </w:tr>
      <w:tr w:rsidR="001A4F7B" w:rsidRPr="00EC60D8" w14:paraId="3CCF5BF8" w14:textId="77777777" w:rsidTr="005C6675">
        <w:trPr>
          <w:trHeight w:val="292"/>
          <w:jc w:val="center"/>
        </w:trPr>
        <w:tc>
          <w:tcPr>
            <w:tcW w:w="933" w:type="pct"/>
            <w:vMerge/>
          </w:tcPr>
          <w:p w14:paraId="293A680A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1057" w:type="pct"/>
          </w:tcPr>
          <w:p w14:paraId="40B600E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Percent LDL-C change at one year after discharge</w:t>
            </w:r>
          </w:p>
        </w:tc>
        <w:tc>
          <w:tcPr>
            <w:tcW w:w="1119" w:type="pct"/>
          </w:tcPr>
          <w:p w14:paraId="214C88E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(LDL-C at one year – baseline LDL-C) / Baseline LDL-C * 100%</w:t>
            </w:r>
          </w:p>
        </w:tc>
        <w:tc>
          <w:tcPr>
            <w:tcW w:w="1110" w:type="pct"/>
          </w:tcPr>
          <w:p w14:paraId="102C3B71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  <w:tc>
          <w:tcPr>
            <w:tcW w:w="781" w:type="pct"/>
          </w:tcPr>
          <w:p w14:paraId="0BF122C3" w14:textId="77777777" w:rsidR="001A4F7B" w:rsidRPr="00EC60D8" w:rsidRDefault="001A4F7B" w:rsidP="000607D0">
            <w:pPr>
              <w:rPr>
                <w:rFonts w:eastAsia="Calibri" w:cs="Arial"/>
                <w:sz w:val="20"/>
                <w:szCs w:val="20"/>
                <w:lang w:val="en-GB"/>
              </w:rPr>
            </w:pPr>
            <w:r w:rsidRPr="00EC60D8">
              <w:rPr>
                <w:rFonts w:eastAsia="Calibri" w:cs="Arial"/>
                <w:sz w:val="20"/>
                <w:szCs w:val="20"/>
                <w:lang w:val="en-GB"/>
              </w:rPr>
              <w:t>Calculated for each individual. If no baseline or follow-up</w:t>
            </w:r>
            <w:r w:rsidR="00234497" w:rsidRPr="00EC60D8">
              <w:rPr>
                <w:rFonts w:eastAsia="Calibri" w:cs="Arial"/>
                <w:sz w:val="20"/>
                <w:szCs w:val="20"/>
                <w:lang w:val="en-GB"/>
              </w:rPr>
              <w:t xml:space="preserve"> LDL-C results, code as missing</w:t>
            </w:r>
          </w:p>
        </w:tc>
      </w:tr>
    </w:tbl>
    <w:p w14:paraId="7A081DB8" w14:textId="77777777" w:rsidR="001A4F7B" w:rsidRPr="00EC60D8" w:rsidRDefault="000266CB" w:rsidP="000607D0">
      <w:pPr>
        <w:rPr>
          <w:rFonts w:cs="Arial"/>
          <w:lang w:val="en-GB"/>
        </w:rPr>
      </w:pPr>
      <w:r w:rsidRPr="00EC60D8">
        <w:rPr>
          <w:rFonts w:cs="Arial"/>
          <w:lang w:val="en-GB"/>
        </w:rPr>
        <w:t xml:space="preserve">Abbreviations: </w:t>
      </w:r>
      <w:r w:rsidR="00EC6084" w:rsidRPr="00EC60D8">
        <w:rPr>
          <w:rFonts w:cs="Arial"/>
          <w:lang w:val="en-GB"/>
        </w:rPr>
        <w:t xml:space="preserve">eGFR, estimated glomerular filtration rate; </w:t>
      </w:r>
      <w:r w:rsidR="001E7C1B" w:rsidRPr="00EC60D8">
        <w:rPr>
          <w:rFonts w:cs="Arial"/>
          <w:lang w:val="en-GB"/>
        </w:rPr>
        <w:t>HDL-C,</w:t>
      </w:r>
      <w:r w:rsidR="001D037D" w:rsidRPr="00EC60D8">
        <w:rPr>
          <w:rFonts w:cs="Arial"/>
          <w:lang w:val="en-GB"/>
        </w:rPr>
        <w:t xml:space="preserve"> high-density lipoprotein cholesterol</w:t>
      </w:r>
      <w:r w:rsidR="001E7C1B" w:rsidRPr="00EC60D8">
        <w:rPr>
          <w:rFonts w:cs="Arial"/>
          <w:lang w:val="en-GB"/>
        </w:rPr>
        <w:t xml:space="preserve">; </w:t>
      </w:r>
      <w:r w:rsidRPr="00EC60D8">
        <w:rPr>
          <w:rFonts w:cs="Arial"/>
          <w:lang w:val="en-GB"/>
        </w:rPr>
        <w:t>ICD-9</w:t>
      </w:r>
      <w:r w:rsidR="007579DB">
        <w:rPr>
          <w:rFonts w:cs="Arial"/>
          <w:lang w:val="en-GB"/>
        </w:rPr>
        <w:t>-CM</w:t>
      </w:r>
      <w:r w:rsidRPr="00EC60D8">
        <w:rPr>
          <w:rFonts w:cs="Arial"/>
          <w:lang w:val="en-GB"/>
        </w:rPr>
        <w:t>, Internat</w:t>
      </w:r>
      <w:r w:rsidR="00E266F3" w:rsidRPr="00EC60D8">
        <w:rPr>
          <w:rFonts w:cs="Arial"/>
          <w:lang w:val="en-GB"/>
        </w:rPr>
        <w:t>ional Classification of Disease</w:t>
      </w:r>
      <w:r w:rsidRPr="00EC60D8">
        <w:rPr>
          <w:rFonts w:cs="Arial"/>
          <w:lang w:val="en-GB"/>
        </w:rPr>
        <w:t>, 9</w:t>
      </w:r>
      <w:r w:rsidRPr="00EC60D8">
        <w:rPr>
          <w:rFonts w:cs="Arial"/>
          <w:vertAlign w:val="superscript"/>
          <w:lang w:val="en-GB"/>
        </w:rPr>
        <w:t>th</w:t>
      </w:r>
      <w:r w:rsidRPr="00EC60D8">
        <w:rPr>
          <w:rFonts w:cs="Arial"/>
          <w:lang w:val="en-GB"/>
        </w:rPr>
        <w:t xml:space="preserve"> </w:t>
      </w:r>
      <w:r w:rsidR="00526418" w:rsidRPr="00EC60D8">
        <w:rPr>
          <w:rFonts w:cs="Arial"/>
          <w:lang w:val="en-GB"/>
        </w:rPr>
        <w:t>Revision</w:t>
      </w:r>
      <w:r w:rsidR="007579DB">
        <w:rPr>
          <w:rFonts w:cs="Arial"/>
          <w:lang w:val="en-GB"/>
        </w:rPr>
        <w:t xml:space="preserve"> Clinical Modification</w:t>
      </w:r>
      <w:r w:rsidRPr="00EC60D8">
        <w:rPr>
          <w:rFonts w:cs="Arial"/>
          <w:lang w:val="en-GB"/>
        </w:rPr>
        <w:t xml:space="preserve">; ICPC, International Classification </w:t>
      </w:r>
      <w:r w:rsidR="00A260E3" w:rsidRPr="00EC60D8">
        <w:rPr>
          <w:rFonts w:cs="Arial"/>
          <w:lang w:val="en-GB"/>
        </w:rPr>
        <w:t>of Primary Care</w:t>
      </w:r>
      <w:r w:rsidR="00E266F3" w:rsidRPr="00EC60D8">
        <w:rPr>
          <w:rFonts w:cs="Arial"/>
          <w:lang w:val="en-GB"/>
        </w:rPr>
        <w:t>;</w:t>
      </w:r>
      <w:r w:rsidR="001E7C1B" w:rsidRPr="00EC60D8">
        <w:rPr>
          <w:rFonts w:cs="Arial"/>
          <w:lang w:val="en-GB"/>
        </w:rPr>
        <w:t xml:space="preserve"> LDL-C</w:t>
      </w:r>
      <w:r w:rsidR="00D8334E" w:rsidRPr="00EC60D8">
        <w:rPr>
          <w:rFonts w:cs="Arial"/>
          <w:lang w:val="en-GB"/>
        </w:rPr>
        <w:t>, low-density lipoprotein cholesterol</w:t>
      </w:r>
      <w:r w:rsidR="001E7C1B" w:rsidRPr="00EC60D8">
        <w:rPr>
          <w:rFonts w:cs="Arial"/>
          <w:lang w:val="en-GB"/>
        </w:rPr>
        <w:t xml:space="preserve">; </w:t>
      </w:r>
      <w:r w:rsidR="003B5437" w:rsidRPr="00EC60D8">
        <w:rPr>
          <w:rFonts w:cs="Arial"/>
          <w:lang w:val="en-GB"/>
        </w:rPr>
        <w:t xml:space="preserve">MDRD, Modification of Diet in Renal Disease; </w:t>
      </w:r>
      <w:r w:rsidR="00E266F3" w:rsidRPr="00EC60D8">
        <w:rPr>
          <w:rFonts w:cs="Arial"/>
          <w:lang w:val="en-GB"/>
        </w:rPr>
        <w:t xml:space="preserve">MI, myocardial infarction; </w:t>
      </w:r>
      <w:r w:rsidR="001D037D" w:rsidRPr="00EC60D8">
        <w:rPr>
          <w:rFonts w:cs="Arial"/>
          <w:lang w:val="en-GB"/>
        </w:rPr>
        <w:t>non-HDL-C</w:t>
      </w:r>
      <w:r w:rsidR="003B5437" w:rsidRPr="00EC60D8">
        <w:rPr>
          <w:rFonts w:cs="Arial"/>
          <w:lang w:val="en-GB"/>
        </w:rPr>
        <w:t>, non-high-density lipoprotein cholesterol</w:t>
      </w:r>
      <w:r w:rsidR="001D037D" w:rsidRPr="00EC60D8">
        <w:rPr>
          <w:rFonts w:cs="Arial"/>
          <w:lang w:val="en-GB"/>
        </w:rPr>
        <w:t>;</w:t>
      </w:r>
      <w:r w:rsidR="00494748" w:rsidRPr="00EC60D8">
        <w:rPr>
          <w:rFonts w:cs="Arial"/>
          <w:lang w:val="en-GB"/>
        </w:rPr>
        <w:t xml:space="preserve"> </w:t>
      </w:r>
      <w:r w:rsidR="00E266F3" w:rsidRPr="00EC60D8">
        <w:rPr>
          <w:rFonts w:cs="Arial"/>
          <w:lang w:val="en-GB"/>
        </w:rPr>
        <w:t xml:space="preserve">PCI, percutaneous coronary intervention; </w:t>
      </w:r>
      <w:r w:rsidR="001D037D" w:rsidRPr="00EC60D8">
        <w:rPr>
          <w:rFonts w:cs="Arial"/>
          <w:lang w:val="en-GB"/>
        </w:rPr>
        <w:t>PCSK9,</w:t>
      </w:r>
      <w:r w:rsidR="002F7032" w:rsidRPr="00EC60D8">
        <w:rPr>
          <w:lang w:val="en-GB"/>
        </w:rPr>
        <w:t xml:space="preserve"> </w:t>
      </w:r>
      <w:r w:rsidR="00592B4B" w:rsidRPr="00EC60D8">
        <w:rPr>
          <w:rFonts w:cs="Arial"/>
          <w:lang w:val="en-GB"/>
        </w:rPr>
        <w:t>proprotein convertase s</w:t>
      </w:r>
      <w:r w:rsidR="002F7032" w:rsidRPr="00EC60D8">
        <w:rPr>
          <w:rFonts w:cs="Arial"/>
          <w:lang w:val="en-GB"/>
        </w:rPr>
        <w:t>ubtil</w:t>
      </w:r>
      <w:r w:rsidR="00592B4B" w:rsidRPr="00EC60D8">
        <w:rPr>
          <w:rFonts w:cs="Arial"/>
          <w:lang w:val="en-GB"/>
        </w:rPr>
        <w:t>i</w:t>
      </w:r>
      <w:r w:rsidR="00DF1BE0" w:rsidRPr="00EC60D8">
        <w:rPr>
          <w:rFonts w:cs="Arial"/>
          <w:lang w:val="en-GB"/>
        </w:rPr>
        <w:t>sin/</w:t>
      </w:r>
      <w:r w:rsidR="00592B4B" w:rsidRPr="00EC60D8">
        <w:rPr>
          <w:rFonts w:cs="Arial"/>
          <w:lang w:val="en-GB"/>
        </w:rPr>
        <w:t>k</w:t>
      </w:r>
      <w:r w:rsidR="002F7032" w:rsidRPr="00EC60D8">
        <w:rPr>
          <w:rFonts w:cs="Arial"/>
          <w:lang w:val="en-GB"/>
        </w:rPr>
        <w:t>exin type 9</w:t>
      </w:r>
      <w:r w:rsidR="001D037D" w:rsidRPr="00EC60D8">
        <w:rPr>
          <w:rFonts w:cs="Arial"/>
          <w:lang w:val="en-GB"/>
        </w:rPr>
        <w:t>;</w:t>
      </w:r>
      <w:r w:rsidR="002F7032" w:rsidRPr="00EC60D8">
        <w:rPr>
          <w:rFonts w:cs="Arial"/>
          <w:lang w:val="en-GB"/>
        </w:rPr>
        <w:t xml:space="preserve"> </w:t>
      </w:r>
      <w:r w:rsidR="00E266F3" w:rsidRPr="00EC60D8">
        <w:rPr>
          <w:rFonts w:cs="Arial"/>
          <w:lang w:val="en-GB"/>
        </w:rPr>
        <w:t>TIA, transient isch</w:t>
      </w:r>
      <w:r w:rsidR="00893067">
        <w:rPr>
          <w:rFonts w:cs="Arial"/>
          <w:lang w:val="en-GB"/>
        </w:rPr>
        <w:t>a</w:t>
      </w:r>
      <w:r w:rsidR="00E266F3" w:rsidRPr="00EC60D8">
        <w:rPr>
          <w:rFonts w:cs="Arial"/>
          <w:lang w:val="en-GB"/>
        </w:rPr>
        <w:t>emic attack</w:t>
      </w:r>
      <w:r w:rsidR="006F2AD4" w:rsidRPr="00EC60D8">
        <w:rPr>
          <w:rFonts w:cs="Arial"/>
          <w:lang w:val="en-GB"/>
        </w:rPr>
        <w:t xml:space="preserve">; </w:t>
      </w:r>
      <w:r w:rsidR="001D037D" w:rsidRPr="00EC60D8">
        <w:rPr>
          <w:rFonts w:cs="Arial"/>
          <w:lang w:val="en-GB"/>
        </w:rPr>
        <w:t>TRS 2ºP, TIMI (Thrombolysis in Myocardial Infarction) Risk Score for Secondary Prevention.</w:t>
      </w:r>
    </w:p>
    <w:p w14:paraId="246919E0" w14:textId="4174E639" w:rsidR="00837E8D" w:rsidRDefault="00837E8D">
      <w:pPr>
        <w:rPr>
          <w:lang w:val="en-GB"/>
        </w:rPr>
      </w:pPr>
      <w:r>
        <w:rPr>
          <w:lang w:val="en-GB"/>
        </w:rPr>
        <w:br w:type="page"/>
      </w:r>
    </w:p>
    <w:p w14:paraId="69926AD5" w14:textId="1AD70166" w:rsidR="00837E8D" w:rsidRDefault="00837E8D" w:rsidP="00837E8D">
      <w:pPr>
        <w:pStyle w:val="BodyText"/>
      </w:pPr>
      <w:r>
        <w:rPr>
          <w:b/>
        </w:rPr>
        <w:lastRenderedPageBreak/>
        <w:t xml:space="preserve">Supplementary </w:t>
      </w:r>
      <w:bookmarkStart w:id="1" w:name="_GoBack"/>
      <w:bookmarkEnd w:id="1"/>
      <w:r>
        <w:rPr>
          <w:b/>
        </w:rPr>
        <w:t>Table 2.</w:t>
      </w:r>
      <w:r>
        <w:t xml:space="preserve"> Distribution and availability of low-density lipoprotein cholesterol concentrations for the overall cohort and stratified by index event. We assessed low-density lipoprotein concentrations at baseline (during the index hospitalization), and at 30, 90, 180, and 365 days after hospital discharge, or at any time during one year of follow-up.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709"/>
        <w:gridCol w:w="1580"/>
        <w:gridCol w:w="1580"/>
        <w:gridCol w:w="1580"/>
        <w:gridCol w:w="1580"/>
      </w:tblGrid>
      <w:tr w:rsidR="00837E8D" w14:paraId="18B039F7" w14:textId="77777777" w:rsidTr="00D4517A">
        <w:trPr>
          <w:cantSplit/>
          <w:tblHeader/>
          <w:jc w:val="center"/>
        </w:trPr>
        <w:tc>
          <w:tcPr>
            <w:tcW w:w="2709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967F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5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288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Overall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br/>
              <w:t>(n=18 417)</w:t>
            </w:r>
          </w:p>
        </w:tc>
        <w:tc>
          <w:tcPr>
            <w:tcW w:w="15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921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Myocardial infarction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br/>
              <w:t>(n=3 637)</w:t>
            </w:r>
          </w:p>
        </w:tc>
        <w:tc>
          <w:tcPr>
            <w:tcW w:w="15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484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PCI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br/>
              <w:t>(n=4 096)</w:t>
            </w:r>
          </w:p>
        </w:tc>
        <w:tc>
          <w:tcPr>
            <w:tcW w:w="15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9FA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Stroke or TIA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br/>
              <w:t>(n=10 684)</w:t>
            </w:r>
          </w:p>
        </w:tc>
      </w:tr>
      <w:tr w:rsidR="00837E8D" w14:paraId="63C25C44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804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Mean (SD) LDL-C, mmol/L</w:t>
            </w:r>
          </w:p>
        </w:tc>
      </w:tr>
      <w:tr w:rsidR="00837E8D" w14:paraId="20627026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7E3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Index hospitalization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B6F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2.8 (1.0)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6FD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2.8 (1.0)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190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2.4 (0.9)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D2D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3.0 (1.0)</w:t>
            </w:r>
          </w:p>
        </w:tc>
      </w:tr>
      <w:tr w:rsidR="00837E8D" w14:paraId="2B781D36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1B9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30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B1F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2.3 (0.9)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295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2.1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F6C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254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2.5 (0.9)</w:t>
            </w:r>
          </w:p>
        </w:tc>
      </w:tr>
      <w:tr w:rsidR="00837E8D" w14:paraId="616B501E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57F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67A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2.1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CE0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EAB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3D6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2.3 (0.8)</w:t>
            </w:r>
          </w:p>
        </w:tc>
      </w:tr>
      <w:tr w:rsidR="00837E8D" w14:paraId="30396456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80B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180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C2F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2.1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F6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EFF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C5B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2.3 (0.8)</w:t>
            </w:r>
          </w:p>
        </w:tc>
      </w:tr>
      <w:tr w:rsidR="00837E8D" w14:paraId="1C7951F2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031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9C7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2.1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1DC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631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61D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2.3 (0.8)</w:t>
            </w:r>
          </w:p>
        </w:tc>
      </w:tr>
      <w:tr w:rsidR="00837E8D" w14:paraId="1E14B443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666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Any time during follow-up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BE8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2.2 (0.8)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5E8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A6E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2.0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A13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2.3 (0.8)</w:t>
            </w:r>
          </w:p>
        </w:tc>
      </w:tr>
      <w:tr w:rsidR="00837E8D" w14:paraId="07FDC571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318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Category of LDL-C</w:t>
            </w:r>
          </w:p>
        </w:tc>
      </w:tr>
      <w:tr w:rsidR="00837E8D" w14:paraId="7919F743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440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Index hospitalization</w:t>
            </w:r>
          </w:p>
        </w:tc>
      </w:tr>
      <w:tr w:rsidR="00837E8D" w14:paraId="483CD336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ACD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A1E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1 849 (10.0)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A60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402 (11.1)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962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563 (13.7)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9C8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884 (8.3)</w:t>
            </w:r>
          </w:p>
        </w:tc>
      </w:tr>
      <w:tr w:rsidR="00837E8D" w14:paraId="26DF9461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89F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1.8-2.6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CB2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4 688 (25.5)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CCD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945 (26.0)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26C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909 (22.2)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7B0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2 834 (26.5)</w:t>
            </w:r>
          </w:p>
        </w:tc>
      </w:tr>
      <w:tr w:rsidR="00837E8D" w14:paraId="481BF845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1DD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2.7-3.9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775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5 647 (30.7)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5B3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1 097 (30.2)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043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575 (14.0)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13B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3 975 (37.2)</w:t>
            </w:r>
          </w:p>
        </w:tc>
      </w:tr>
      <w:tr w:rsidR="00837E8D" w14:paraId="1CE8F81A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0500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≥4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D1A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1 599 (8.7)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5EB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317 (8.7)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8B4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110 (2.7)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820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1 172 (11.0)</w:t>
            </w:r>
          </w:p>
        </w:tc>
      </w:tr>
      <w:tr w:rsidR="00837E8D" w14:paraId="3214CE8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CCF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2F0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4 634 (25.2)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654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876 (24.1)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3C0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1 939 (47.3)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576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1 819 (17.0)</w:t>
            </w:r>
          </w:p>
        </w:tc>
      </w:tr>
      <w:tr w:rsidR="00837E8D" w14:paraId="14282602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C90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30 days</w:t>
            </w:r>
          </w:p>
        </w:tc>
      </w:tr>
      <w:tr w:rsidR="00837E8D" w14:paraId="76256D61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E13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B91B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676 (3.7)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E7E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266 (7.3)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761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165 (4.0)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42D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245 (2.3)</w:t>
            </w:r>
          </w:p>
        </w:tc>
      </w:tr>
      <w:tr w:rsidR="00837E8D" w14:paraId="6FC042D2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128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1.8-2.6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B63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987 (5.4)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33A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359 (9.9)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2EB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185 (4.5)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D9E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443 (4.1)</w:t>
            </w:r>
          </w:p>
        </w:tc>
      </w:tr>
      <w:tr w:rsidR="00837E8D" w14:paraId="4CA8A4F2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577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2.7-3.9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6C4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481 (2.6)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E50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119 (3.3)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A2C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53 (1.3)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258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309 (2.9)</w:t>
            </w:r>
          </w:p>
        </w:tc>
      </w:tr>
      <w:tr w:rsidR="00837E8D" w14:paraId="33B85253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C50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≥4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E08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102 (0.6)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60C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22 (0.6)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BCA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4 (0.1)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4C2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76 (0.7)</w:t>
            </w:r>
          </w:p>
        </w:tc>
      </w:tr>
      <w:tr w:rsidR="00837E8D" w14:paraId="7211FF9E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06C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DFB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16 171 (87.8)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F88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2 871 (78.9)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EBD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3 689 (90.1)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C21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9 611 (90.0)</w:t>
            </w:r>
          </w:p>
        </w:tc>
      </w:tr>
      <w:tr w:rsidR="00837E8D" w14:paraId="012D50DB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40D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90 days</w:t>
            </w:r>
          </w:p>
        </w:tc>
      </w:tr>
      <w:tr w:rsidR="00837E8D" w14:paraId="50D3255D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8A9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BDE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1 243 (6.7)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C29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436 (12.0)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6CC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370 (9.0)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F30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437 (4.1)</w:t>
            </w:r>
          </w:p>
        </w:tc>
      </w:tr>
      <w:tr w:rsidR="00837E8D" w14:paraId="5F8FC64A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481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1.8-2.6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468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1 355 (7.4)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28D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407 (11.2)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C53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372 (9.1)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F9B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576 (5.4)</w:t>
            </w:r>
          </w:p>
        </w:tc>
      </w:tr>
      <w:tr w:rsidR="00837E8D" w14:paraId="2C5E5996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DDA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2.7-3.9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F2B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567 (3.1)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36A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150 (4.1)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BA6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99 (2.4)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CB9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318 (3.0)</w:t>
            </w:r>
          </w:p>
        </w:tc>
      </w:tr>
      <w:tr w:rsidR="00837E8D" w14:paraId="2A093CB9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962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≥4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14A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81 (0.4)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5D9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18 (0.5)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E5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17 (0.4)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61A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46 (0.4)</w:t>
            </w:r>
          </w:p>
        </w:tc>
      </w:tr>
      <w:tr w:rsidR="00837E8D" w14:paraId="1027BAB9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59E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C9F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15 171 (82.4)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7ED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2 626 (72.2)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D8D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3 238 (79.1)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AF0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9 307 (87.1)</w:t>
            </w:r>
          </w:p>
        </w:tc>
      </w:tr>
      <w:tr w:rsidR="00837E8D" w14:paraId="4366E57A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058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180 days</w:t>
            </w:r>
          </w:p>
        </w:tc>
      </w:tr>
      <w:tr w:rsidR="00837E8D" w14:paraId="72C98AC3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5B5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6F7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2 051 (11.1)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332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679 (18.7)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098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756 (18.5)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656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616 (5.8)</w:t>
            </w:r>
          </w:p>
        </w:tc>
      </w:tr>
      <w:tr w:rsidR="00837E8D" w14:paraId="7F992D0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482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1.8-2.6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275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2 349 (12.8)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CAE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654 (18.0)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9119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789 (19.3)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5EF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906 (8.5)</w:t>
            </w:r>
          </w:p>
        </w:tc>
      </w:tr>
      <w:tr w:rsidR="00837E8D" w14:paraId="0DF8EE4A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623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2.7-3.9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E21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899 (4.9)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7D7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199 (5.5)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9BD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221 (5.4)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52A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479 (4.5)</w:t>
            </w:r>
          </w:p>
        </w:tc>
      </w:tr>
      <w:tr w:rsidR="00837E8D" w14:paraId="55ADAAD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A53C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≥4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599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134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22C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26 (0.7)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81E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23 (0.6)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C27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85 (0.8)</w:t>
            </w:r>
          </w:p>
        </w:tc>
      </w:tr>
      <w:tr w:rsidR="00837E8D" w14:paraId="5869E32D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E32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1C3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12 984 (70.5)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334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2 079 (57.2)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9AA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2 307 (56.3)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499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8 598 (80.5)</w:t>
            </w:r>
          </w:p>
        </w:tc>
      </w:tr>
      <w:tr w:rsidR="00837E8D" w14:paraId="4FE985AF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18B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365 days</w:t>
            </w:r>
          </w:p>
        </w:tc>
      </w:tr>
      <w:tr w:rsidR="00837E8D" w14:paraId="48CF488F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71C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B12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3 261 (17.7)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46A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938 (25.8)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C5C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1 206 (29.4)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AEE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1 117 (10.5)</w:t>
            </w:r>
          </w:p>
        </w:tc>
      </w:tr>
      <w:tr w:rsidR="00837E8D" w14:paraId="3CFD3315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71F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1.8-2.6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C64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3 723 (20.2)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734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937 (25.8)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509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1 236 (30.2)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FE0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1 550 (14.5)</w:t>
            </w:r>
          </w:p>
        </w:tc>
      </w:tr>
      <w:tr w:rsidR="00837E8D" w14:paraId="1A4EC962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863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2.7-3.9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DBA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1 525 (8.3)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7B6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250 (6.9)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AB5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350 (8.5)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D89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925 (8.7)</w:t>
            </w:r>
          </w:p>
        </w:tc>
      </w:tr>
      <w:tr w:rsidR="00837E8D" w14:paraId="5FA9F6BE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698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≥4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367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212 (1.2)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E48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37 (1.0)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D7D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38 (0.9)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4F0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137 (1.3)</w:t>
            </w:r>
          </w:p>
        </w:tc>
      </w:tr>
      <w:tr w:rsidR="00837E8D" w14:paraId="26EBE345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B52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B89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9 696 (52.6)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272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1 475 (40.6)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337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1 266 (30.9)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922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6 955 (65.1)</w:t>
            </w:r>
          </w:p>
        </w:tc>
      </w:tr>
      <w:tr w:rsidR="00837E8D" w14:paraId="765A4305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A6B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Any time during follow-up</w:t>
            </w:r>
          </w:p>
        </w:tc>
      </w:tr>
      <w:tr w:rsidR="00837E8D" w14:paraId="1CC2E451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0BC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BFF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4 591 (24.9)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252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1 288 (35.4)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E20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1 542 (37.6)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A58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1 761 (16.5)</w:t>
            </w:r>
          </w:p>
        </w:tc>
      </w:tr>
      <w:tr w:rsidR="00837E8D" w14:paraId="350C4653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BAB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1.8-2.6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B64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5 520 (30.0)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8E3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1 310 (36.0)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04C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1 634 (39.9)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B30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2 576 (24.1)</w:t>
            </w:r>
          </w:p>
        </w:tc>
      </w:tr>
      <w:tr w:rsidR="00837E8D" w14:paraId="27FDCE29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A0C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2.7-3.9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450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2 328 (12.6)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4F3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382 (10.5)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24B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440 (10.7)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EAA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1 506 (14.1)</w:t>
            </w:r>
          </w:p>
        </w:tc>
      </w:tr>
      <w:tr w:rsidR="00837E8D" w14:paraId="63056CB5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B02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≥4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411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324 (1.8)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85D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52 (1.4)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605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48 (1.2)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141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224 (2.1)</w:t>
            </w:r>
          </w:p>
        </w:tc>
      </w:tr>
      <w:tr w:rsidR="00837E8D" w14:paraId="52C14982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436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C21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5 654 (30.7)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F51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605 (16.6)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ACE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432 (10.5)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03A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4 617 (43.2)</w:t>
            </w:r>
          </w:p>
        </w:tc>
      </w:tr>
      <w:tr w:rsidR="00837E8D" w14:paraId="67108477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E0A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Achieved LDL-C of &lt; 1.8 mmol/L</w:t>
            </w:r>
          </w:p>
        </w:tc>
      </w:tr>
      <w:tr w:rsidR="00837E8D" w14:paraId="1FAE57C7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B79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Index hospitalization</w:t>
            </w:r>
          </w:p>
        </w:tc>
      </w:tr>
      <w:tr w:rsidR="00837E8D" w14:paraId="789DD137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360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528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1 849 (10.0)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231A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402 (11.1)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80C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563 (13.7)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131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884 (8.3)</w:t>
            </w:r>
          </w:p>
        </w:tc>
      </w:tr>
      <w:tr w:rsidR="00837E8D" w14:paraId="1E53854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261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049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11 934 (64.8)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E71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2 359 (64.9)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E7A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1 594 (38.9)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942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7 981 (74.7)</w:t>
            </w:r>
          </w:p>
        </w:tc>
      </w:tr>
      <w:tr w:rsidR="00837E8D" w14:paraId="30E60A6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A85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EA8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4 634 (25.2)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A18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876 (24.1)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386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1 939 (47.3)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7D6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1 819 (17.0)</w:t>
            </w:r>
          </w:p>
        </w:tc>
      </w:tr>
      <w:tr w:rsidR="00837E8D" w14:paraId="2B7CC31E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C79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30 days</w:t>
            </w:r>
          </w:p>
        </w:tc>
      </w:tr>
      <w:tr w:rsidR="00837E8D" w14:paraId="7F14420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2DA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lastRenderedPageBreak/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BAF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676 (3.7)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FC7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266 (7.3)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CC5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165 (4.0)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987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245 (2.3)</w:t>
            </w:r>
          </w:p>
        </w:tc>
      </w:tr>
      <w:tr w:rsidR="00837E8D" w14:paraId="50057C1A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EC1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06F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1 570 (8.5)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802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500 (13.7)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426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242 (5.9)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A5F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828 (7.7)</w:t>
            </w:r>
          </w:p>
        </w:tc>
      </w:tr>
      <w:tr w:rsidR="00837E8D" w14:paraId="5CB51D89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DD4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622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16 171 (87.8)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541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2 871 (78.9)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2C6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3 689 (90.1)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60A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9 611 (90.0)</w:t>
            </w:r>
          </w:p>
        </w:tc>
      </w:tr>
      <w:tr w:rsidR="00837E8D" w14:paraId="126904C1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62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90 days</w:t>
            </w:r>
          </w:p>
        </w:tc>
      </w:tr>
      <w:tr w:rsidR="00837E8D" w14:paraId="44B423E8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251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FB4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1 243 (6.7)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33D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436 (12.0)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E4F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370 (9.0)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EA5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437 (4.1)</w:t>
            </w:r>
          </w:p>
        </w:tc>
      </w:tr>
      <w:tr w:rsidR="00837E8D" w14:paraId="09C5416B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462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71C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2 003 (10.9)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8B1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575 (15.8)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74A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488 (11.9)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043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940 (8.8)</w:t>
            </w:r>
          </w:p>
        </w:tc>
      </w:tr>
      <w:tr w:rsidR="00837E8D" w14:paraId="3254F674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696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A15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15 171 (82.4)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ED5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2 626 (72.2)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8DB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3 238 (79.1)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185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9 307 (87.1)</w:t>
            </w:r>
          </w:p>
        </w:tc>
      </w:tr>
      <w:tr w:rsidR="00837E8D" w14:paraId="39320725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92D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180 days</w:t>
            </w:r>
          </w:p>
        </w:tc>
      </w:tr>
      <w:tr w:rsidR="00837E8D" w14:paraId="2A9E3F2D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EEA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9A2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2 051 (11.1)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100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679 (18.7)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91D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756 (18.5)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DE6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616 (5.8)</w:t>
            </w:r>
          </w:p>
        </w:tc>
      </w:tr>
      <w:tr w:rsidR="00837E8D" w14:paraId="048C1AB8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789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16A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3 382 (18.4)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3B6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879 (24.2)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2C7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1 033 (25.2)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BEF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1 470 (13.8)</w:t>
            </w:r>
          </w:p>
        </w:tc>
      </w:tr>
      <w:tr w:rsidR="00837E8D" w14:paraId="34E5532F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CA8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740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12 984 (70.5)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52B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2 079 (57.2)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067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2 307 (56.3)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364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8 598 (80.5)</w:t>
            </w:r>
          </w:p>
        </w:tc>
      </w:tr>
      <w:tr w:rsidR="00837E8D" w14:paraId="28DEBE73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0DC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365 days</w:t>
            </w:r>
          </w:p>
        </w:tc>
      </w:tr>
      <w:tr w:rsidR="00837E8D" w14:paraId="16FF40AE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00D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1C3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3 261 (17.7)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36F7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938 (25.8)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5D4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1 206 (29.4)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15F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1 117 (10.5)</w:t>
            </w:r>
          </w:p>
        </w:tc>
      </w:tr>
      <w:tr w:rsidR="00837E8D" w14:paraId="122A03D2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238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195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5 460 (29.6)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392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1 224 (33.7)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696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1 624 (39.6)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855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2 612 (24.4)</w:t>
            </w:r>
          </w:p>
        </w:tc>
      </w:tr>
      <w:tr w:rsidR="00837E8D" w14:paraId="4C2DA323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3F0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715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9 696 (52.6)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FE3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1 475 (40.6)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FF4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1 266 (30.9)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9C4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6 955 (65.1)</w:t>
            </w:r>
          </w:p>
        </w:tc>
      </w:tr>
      <w:tr w:rsidR="00837E8D" w14:paraId="3CF55D54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45AB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Any time during follow-up</w:t>
            </w:r>
          </w:p>
        </w:tc>
      </w:tr>
      <w:tr w:rsidR="00837E8D" w14:paraId="0E265C35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3FC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&lt;1.8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E5E9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4 591 (24.9)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56E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1 288 (35.4)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63D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1 542 (37.6)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18B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1 761 (16.5)</w:t>
            </w:r>
          </w:p>
        </w:tc>
      </w:tr>
      <w:tr w:rsidR="00837E8D" w14:paraId="57EEA031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1F6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≥1.8 mmol/L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0E4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8 172 (44.4)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D16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1 744 (48.0)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CEB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2 122 (51.8)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EC7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4 306 (40.3)</w:t>
            </w:r>
          </w:p>
        </w:tc>
      </w:tr>
      <w:tr w:rsidR="00837E8D" w14:paraId="5884EAEB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678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Missing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2C7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5 654 (30.7)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82D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605 (16.6)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2EC0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432 (10.5)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6D1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4 617 (43.2)</w:t>
            </w:r>
          </w:p>
        </w:tc>
      </w:tr>
      <w:tr w:rsidR="00837E8D" w14:paraId="56AA3F38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1D1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LDL-C result available</w:t>
            </w:r>
          </w:p>
        </w:tc>
      </w:tr>
      <w:tr w:rsidR="00837E8D" w14:paraId="1B1A1A80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19F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Index hospitalization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E62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13 783 (74.8)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984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2 761 (75.9)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860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2 157 (52.7)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8BA6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8 865 (83.0)</w:t>
            </w:r>
          </w:p>
        </w:tc>
      </w:tr>
      <w:tr w:rsidR="00837E8D" w14:paraId="27E86D6E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670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30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8EA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2 246 (12.2)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1E64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766 (21.1)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C2F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407 (9.9)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23A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1 073 (10.0)</w:t>
            </w:r>
          </w:p>
        </w:tc>
      </w:tr>
      <w:tr w:rsidR="00837E8D" w14:paraId="2F7F6CEB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D6A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90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69CA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3 246 (17.6)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3409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1 011 (27.8)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2C5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858 (20.9)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DA3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1 377 (12.9)</w:t>
            </w:r>
          </w:p>
        </w:tc>
      </w:tr>
      <w:tr w:rsidR="00837E8D" w14:paraId="7724F5D1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388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180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85FD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5 433 (29.5)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E07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1 558 (42.8)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75B2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1 789 (43.7)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DFF1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2 086 (19.5)</w:t>
            </w:r>
          </w:p>
        </w:tc>
      </w:tr>
      <w:tr w:rsidR="00837E8D" w14:paraId="5283CA1B" w14:textId="77777777" w:rsidTr="00D4517A">
        <w:trPr>
          <w:cantSplit/>
          <w:jc w:val="center"/>
        </w:trPr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47E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365 days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BE2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8 721 (47.4)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030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2 162 (59.4)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0EB8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2 830 (69.1)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927F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3 729 (34.9)</w:t>
            </w:r>
          </w:p>
        </w:tc>
      </w:tr>
      <w:tr w:rsidR="00837E8D" w14:paraId="6AAEEDD8" w14:textId="77777777" w:rsidTr="00D4517A">
        <w:trPr>
          <w:cantSplit/>
          <w:jc w:val="center"/>
        </w:trPr>
        <w:tc>
          <w:tcPr>
            <w:tcW w:w="270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61F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Any time during follow-up</w:t>
            </w:r>
          </w:p>
        </w:tc>
        <w:tc>
          <w:tcPr>
            <w:tcW w:w="15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6F9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12 763 (69.3)</w:t>
            </w:r>
          </w:p>
        </w:tc>
        <w:tc>
          <w:tcPr>
            <w:tcW w:w="15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8BD5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3 032 (83.4)</w:t>
            </w:r>
          </w:p>
        </w:tc>
        <w:tc>
          <w:tcPr>
            <w:tcW w:w="15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4903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3 664 (89.5)</w:t>
            </w:r>
          </w:p>
        </w:tc>
        <w:tc>
          <w:tcPr>
            <w:tcW w:w="158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E1BE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6 067 (56.8)</w:t>
            </w:r>
          </w:p>
        </w:tc>
      </w:tr>
      <w:tr w:rsidR="00837E8D" w14:paraId="6E016008" w14:textId="77777777" w:rsidTr="00D4517A">
        <w:trPr>
          <w:cantSplit/>
          <w:jc w:val="center"/>
        </w:trPr>
        <w:tc>
          <w:tcPr>
            <w:tcW w:w="902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5DAC" w14:textId="77777777" w:rsidR="00837E8D" w:rsidRDefault="00837E8D" w:rsidP="00D4517A">
            <w:pPr>
              <w:spacing w:before="1" w:after="1"/>
              <w:ind w:left="1" w:right="1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Abbreviations: LDL-C, low-density lipoprotein cholesterol; PCI, percutaneous coronary intervention; SD, standard deviation; TIA, transient ischaemic attack.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br/>
              <w:t>All values are number (%) of patients unless otherwise indicated.</w:t>
            </w:r>
          </w:p>
        </w:tc>
      </w:tr>
    </w:tbl>
    <w:p w14:paraId="3CB0E6C8" w14:textId="77777777" w:rsidR="00D20245" w:rsidRPr="00EC60D8" w:rsidRDefault="00D20245">
      <w:pPr>
        <w:rPr>
          <w:lang w:val="en-GB"/>
        </w:rPr>
      </w:pPr>
    </w:p>
    <w:sectPr w:rsidR="00D20245" w:rsidRPr="00EC60D8" w:rsidSect="000607D0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7657" w14:textId="77777777" w:rsidR="00494AFD" w:rsidRDefault="00494AFD">
      <w:pPr>
        <w:spacing w:after="0"/>
      </w:pPr>
      <w:r>
        <w:separator/>
      </w:r>
    </w:p>
  </w:endnote>
  <w:endnote w:type="continuationSeparator" w:id="0">
    <w:p w14:paraId="702E69B3" w14:textId="77777777" w:rsidR="00494AFD" w:rsidRDefault="00494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Hewitt Medium">
    <w:altName w:val="Times New Roman"/>
    <w:panose1 w:val="020B0604020202020204"/>
    <w:charset w:val="00"/>
    <w:family w:val="auto"/>
    <w:pitch w:val="variable"/>
    <w:sig w:usb0="A000002F" w:usb1="500160FB" w:usb2="0000001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423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948A7" w14:textId="77777777" w:rsidR="000607D0" w:rsidRDefault="000607D0" w:rsidP="00060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6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850D61" w14:textId="77777777" w:rsidR="000607D0" w:rsidRDefault="0006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7F94" w14:textId="77777777" w:rsidR="00494AFD" w:rsidRDefault="00494AFD">
      <w:r>
        <w:separator/>
      </w:r>
    </w:p>
  </w:footnote>
  <w:footnote w:type="continuationSeparator" w:id="0">
    <w:p w14:paraId="213E6E0E" w14:textId="77777777" w:rsidR="00494AFD" w:rsidRDefault="0049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228A83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547A4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DC1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D165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B46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9A5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22A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2C7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92A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74A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104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AE401"/>
    <w:multiLevelType w:val="multilevel"/>
    <w:tmpl w:val="164CC1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3148"/>
    <w:rsid w:val="000266CB"/>
    <w:rsid w:val="00030983"/>
    <w:rsid w:val="00032BBA"/>
    <w:rsid w:val="000607D0"/>
    <w:rsid w:val="00091A42"/>
    <w:rsid w:val="000E084C"/>
    <w:rsid w:val="00133079"/>
    <w:rsid w:val="001A4F7B"/>
    <w:rsid w:val="001C52A3"/>
    <w:rsid w:val="001D037D"/>
    <w:rsid w:val="001E7C1B"/>
    <w:rsid w:val="002052B8"/>
    <w:rsid w:val="00234497"/>
    <w:rsid w:val="002B0E88"/>
    <w:rsid w:val="002B2347"/>
    <w:rsid w:val="002E52D3"/>
    <w:rsid w:val="002F7032"/>
    <w:rsid w:val="0030169A"/>
    <w:rsid w:val="00303E11"/>
    <w:rsid w:val="00350AD1"/>
    <w:rsid w:val="00355491"/>
    <w:rsid w:val="00362068"/>
    <w:rsid w:val="00365C4A"/>
    <w:rsid w:val="00386E6F"/>
    <w:rsid w:val="003B5437"/>
    <w:rsid w:val="003E2521"/>
    <w:rsid w:val="004902F5"/>
    <w:rsid w:val="00494748"/>
    <w:rsid w:val="00494AFD"/>
    <w:rsid w:val="00495B05"/>
    <w:rsid w:val="004E29B3"/>
    <w:rsid w:val="004F1F84"/>
    <w:rsid w:val="00520A7A"/>
    <w:rsid w:val="00525C76"/>
    <w:rsid w:val="00526418"/>
    <w:rsid w:val="00543608"/>
    <w:rsid w:val="005514C0"/>
    <w:rsid w:val="00580E0C"/>
    <w:rsid w:val="00590D07"/>
    <w:rsid w:val="00592B4B"/>
    <w:rsid w:val="005C6675"/>
    <w:rsid w:val="00602AAC"/>
    <w:rsid w:val="00643599"/>
    <w:rsid w:val="006E13A5"/>
    <w:rsid w:val="006F2AD4"/>
    <w:rsid w:val="0071157C"/>
    <w:rsid w:val="00716827"/>
    <w:rsid w:val="007579DB"/>
    <w:rsid w:val="00781409"/>
    <w:rsid w:val="00784D58"/>
    <w:rsid w:val="00837E8D"/>
    <w:rsid w:val="00856A55"/>
    <w:rsid w:val="0086537F"/>
    <w:rsid w:val="008824BE"/>
    <w:rsid w:val="00893067"/>
    <w:rsid w:val="008A103B"/>
    <w:rsid w:val="008D6863"/>
    <w:rsid w:val="008F6AA4"/>
    <w:rsid w:val="008F79CB"/>
    <w:rsid w:val="009008C5"/>
    <w:rsid w:val="009221B2"/>
    <w:rsid w:val="00953F5B"/>
    <w:rsid w:val="009B2CC1"/>
    <w:rsid w:val="009C1F5B"/>
    <w:rsid w:val="00A260E3"/>
    <w:rsid w:val="00A71197"/>
    <w:rsid w:val="00A94B73"/>
    <w:rsid w:val="00AA5FAB"/>
    <w:rsid w:val="00AC4076"/>
    <w:rsid w:val="00B3098F"/>
    <w:rsid w:val="00B75CF4"/>
    <w:rsid w:val="00B86B75"/>
    <w:rsid w:val="00B90F4B"/>
    <w:rsid w:val="00BA6D0F"/>
    <w:rsid w:val="00BC48D5"/>
    <w:rsid w:val="00BD301D"/>
    <w:rsid w:val="00C16881"/>
    <w:rsid w:val="00C36279"/>
    <w:rsid w:val="00C506BF"/>
    <w:rsid w:val="00C53129"/>
    <w:rsid w:val="00CA45A6"/>
    <w:rsid w:val="00CF0579"/>
    <w:rsid w:val="00D20245"/>
    <w:rsid w:val="00D45EBD"/>
    <w:rsid w:val="00D8334E"/>
    <w:rsid w:val="00D94275"/>
    <w:rsid w:val="00DB30BF"/>
    <w:rsid w:val="00DF1BE0"/>
    <w:rsid w:val="00E266F3"/>
    <w:rsid w:val="00E315A3"/>
    <w:rsid w:val="00EB09A1"/>
    <w:rsid w:val="00EC6084"/>
    <w:rsid w:val="00EC60D8"/>
    <w:rsid w:val="00ED6CDD"/>
    <w:rsid w:val="00F245E9"/>
    <w:rsid w:val="00F5327D"/>
    <w:rsid w:val="00F82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3DD1"/>
  <w15:docId w15:val="{81804B85-0AF2-4970-B128-15E7C51F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B3A"/>
    <w:rPr>
      <w:rFonts w:ascii="Arial" w:hAnsi="Arial" w:cs="Times New Roman"/>
    </w:rPr>
  </w:style>
  <w:style w:type="paragraph" w:styleId="Heading1">
    <w:name w:val="heading 1"/>
    <w:basedOn w:val="Normal"/>
    <w:next w:val="BodyText"/>
    <w:uiPriority w:val="9"/>
    <w:qFormat/>
    <w:rsid w:val="00BA0D08"/>
    <w:pPr>
      <w:keepNext/>
      <w:keepLines/>
      <w:spacing w:after="240"/>
      <w:outlineLvl w:val="0"/>
    </w:pPr>
    <w:rPr>
      <w:rFonts w:eastAsiaTheme="majorEastAsia" w:cs="Calibri Light"/>
      <w:b/>
      <w:bCs/>
      <w:caps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BA0D08"/>
    <w:pPr>
      <w:keepNext/>
      <w:keepLines/>
      <w:spacing w:after="0" w:line="360" w:lineRule="auto"/>
      <w:outlineLvl w:val="1"/>
    </w:pPr>
    <w:rPr>
      <w:rFonts w:eastAsiaTheme="majorEastAsia" w:cs="Calibri Light"/>
      <w:b/>
      <w:bCs/>
      <w:color w:val="000000" w:themeColor="text1"/>
      <w:szCs w:val="26"/>
    </w:rPr>
  </w:style>
  <w:style w:type="paragraph" w:styleId="Heading3">
    <w:name w:val="heading 3"/>
    <w:basedOn w:val="Normal"/>
    <w:next w:val="BodyText"/>
    <w:uiPriority w:val="9"/>
    <w:unhideWhenUsed/>
    <w:qFormat/>
    <w:rsid w:val="00BA0D08"/>
    <w:pPr>
      <w:keepNext/>
      <w:keepLines/>
      <w:spacing w:after="0"/>
      <w:outlineLvl w:val="2"/>
    </w:pPr>
    <w:rPr>
      <w:rFonts w:eastAsiaTheme="majorEastAsia" w:cs="Calibri Light"/>
      <w:b/>
      <w:bCs/>
      <w:i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A42ADF"/>
    <w:pPr>
      <w:keepNext/>
      <w:keepLines/>
      <w:spacing w:after="0"/>
      <w:outlineLvl w:val="3"/>
    </w:pPr>
    <w:rPr>
      <w:rFonts w:ascii="Cooper Hewitt Medium" w:eastAsiaTheme="majorEastAsia" w:hAnsi="Cooper Hewitt Medium" w:cs="Calibri Light"/>
      <w:bCs/>
      <w:sz w:val="22"/>
    </w:rPr>
  </w:style>
  <w:style w:type="paragraph" w:styleId="Heading5">
    <w:name w:val="heading 5"/>
    <w:basedOn w:val="Normal"/>
    <w:next w:val="BodyText"/>
    <w:uiPriority w:val="9"/>
    <w:unhideWhenUsed/>
    <w:qFormat/>
    <w:rsid w:val="00A42ADF"/>
    <w:pPr>
      <w:keepNext/>
      <w:keepLines/>
      <w:spacing w:after="0"/>
      <w:outlineLvl w:val="4"/>
    </w:pPr>
    <w:rPr>
      <w:rFonts w:ascii="Cooper Hewitt Medium" w:eastAsiaTheme="majorEastAsia" w:hAnsi="Cooper Hewitt Medium" w:cs="Calibri Light"/>
      <w:i/>
      <w:iCs/>
      <w:sz w:val="22"/>
    </w:rPr>
  </w:style>
  <w:style w:type="paragraph" w:styleId="Heading6">
    <w:name w:val="heading 6"/>
    <w:basedOn w:val="Normal"/>
    <w:next w:val="BodyText"/>
    <w:uiPriority w:val="9"/>
    <w:unhideWhenUsed/>
    <w:qFormat/>
    <w:rsid w:val="00A42ADF"/>
    <w:pPr>
      <w:keepNext/>
      <w:keepLines/>
      <w:spacing w:after="0"/>
      <w:outlineLvl w:val="5"/>
    </w:pPr>
    <w:rPr>
      <w:rFonts w:ascii="Cooper Hewitt Medium" w:eastAsiaTheme="majorEastAsia" w:hAnsi="Cooper Hewitt Medium" w:cs="Calibri Light"/>
      <w:sz w:val="22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D366B"/>
  </w:style>
  <w:style w:type="paragraph" w:customStyle="1" w:styleId="FirstParagraph">
    <w:name w:val="First Paragraph"/>
    <w:basedOn w:val="Date"/>
    <w:next w:val="BodyText"/>
    <w:qFormat/>
    <w:rsid w:val="001075FD"/>
  </w:style>
  <w:style w:type="paragraph" w:customStyle="1" w:styleId="Compact">
    <w:name w:val="Compact"/>
    <w:basedOn w:val="FirstParagraph"/>
    <w:qFormat/>
    <w:rsid w:val="004F086E"/>
    <w:pPr>
      <w:spacing w:after="0"/>
    </w:pPr>
  </w:style>
  <w:style w:type="paragraph" w:styleId="Title">
    <w:name w:val="Title"/>
    <w:basedOn w:val="Normal"/>
    <w:next w:val="BodyText"/>
    <w:qFormat/>
    <w:rsid w:val="006E4B18"/>
    <w:pPr>
      <w:keepNext/>
      <w:keepLines/>
      <w:spacing w:after="240"/>
    </w:pPr>
    <w:rPr>
      <w:rFonts w:eastAsiaTheme="majorEastAsia" w:cstheme="majorHAnsi"/>
      <w:b/>
      <w:bCs/>
      <w:szCs w:val="32"/>
    </w:rPr>
  </w:style>
  <w:style w:type="paragraph" w:styleId="Subtitle">
    <w:name w:val="Subtitle"/>
    <w:basedOn w:val="Title"/>
    <w:next w:val="BodyText"/>
    <w:qFormat/>
    <w:pPr>
      <w:spacing w:before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rsid w:val="003E6B3A"/>
    <w:pPr>
      <w:keepNext/>
      <w:keepLines/>
      <w:spacing w:after="240"/>
    </w:pPr>
    <w:rPr>
      <w:rFonts w:ascii="Arial" w:hAnsi="Arial" w:cs="Calibri Light"/>
    </w:rPr>
  </w:style>
  <w:style w:type="paragraph" w:styleId="Date">
    <w:name w:val="Date"/>
    <w:basedOn w:val="BodyText"/>
    <w:next w:val="BodyText"/>
    <w:qFormat/>
    <w:rsid w:val="001075FD"/>
  </w:style>
  <w:style w:type="paragraph" w:customStyle="1" w:styleId="Abstract">
    <w:name w:val="Abstract"/>
    <w:basedOn w:val="Normal"/>
    <w:next w:val="BodyText"/>
    <w:qFormat/>
    <w:rsid w:val="00A42ADF"/>
  </w:style>
  <w:style w:type="paragraph" w:styleId="Bibliography">
    <w:name w:val="Bibliography"/>
    <w:basedOn w:val="Normal"/>
    <w:qFormat/>
    <w:rsid w:val="0037556E"/>
    <w:pPr>
      <w:contextualSpacing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Compact"/>
    <w:uiPriority w:val="9"/>
    <w:unhideWhenUsed/>
    <w:qFormat/>
    <w:rsid w:val="001075FD"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3E6B3A"/>
    <w:pPr>
      <w:tabs>
        <w:tab w:val="center" w:pos="4680"/>
        <w:tab w:val="right" w:pos="936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3E6B3A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3E6B3A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76000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76000"/>
    <w:rPr>
      <w:rFonts w:ascii="Arial" w:hAnsi="Arial" w:cs="Times New Roman"/>
    </w:rPr>
  </w:style>
  <w:style w:type="character" w:styleId="PageNumber">
    <w:name w:val="page number"/>
    <w:basedOn w:val="DefaultParagraphFont"/>
    <w:semiHidden/>
    <w:unhideWhenUsed/>
    <w:rsid w:val="008B74BA"/>
    <w:rPr>
      <w:rFonts w:ascii="Arial" w:hAnsi="Arial"/>
      <w:sz w:val="20"/>
    </w:rPr>
  </w:style>
  <w:style w:type="table" w:styleId="TableGrid">
    <w:name w:val="Table Grid"/>
    <w:basedOn w:val="TableNormal"/>
    <w:rsid w:val="006303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A4F7B"/>
    <w:pPr>
      <w:spacing w:after="0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A4F7B"/>
    <w:pPr>
      <w:spacing w:after="0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A6D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6D0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033B-51DC-844D-AB74-70990D7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 observational-retrospective database analysis of low-density lipoprotein cholesterol distributions of very high cardiovascular risk patients</vt:lpstr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 observational-retrospective database analysis of low-density lipoprotein cholesterol distributions of very high cardiovascular risk patients</dc:title>
  <dc:creator>Joe Blais</dc:creator>
  <cp:keywords/>
  <cp:lastModifiedBy>Microsoft Office User</cp:lastModifiedBy>
  <cp:revision>64</cp:revision>
  <cp:lastPrinted>2020-06-10T09:06:00Z</cp:lastPrinted>
  <dcterms:created xsi:type="dcterms:W3CDTF">2020-06-24T05:38:00Z</dcterms:created>
  <dcterms:modified xsi:type="dcterms:W3CDTF">2022-08-09T22:41:00Z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citations_abbr.bib</vt:lpwstr>
  </property>
  <property fmtid="{D5CDD505-2E9C-101B-9397-08002B2CF9AE}" pid="3" name="csl">
    <vt:lpwstr>jama.csl</vt:lpwstr>
  </property>
  <property fmtid="{D5CDD505-2E9C-101B-9397-08002B2CF9AE}" pid="4" name="output">
    <vt:lpwstr/>
  </property>
</Properties>
</file>