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1EE" w:rsidRPr="00555933" w:rsidRDefault="003E31EE" w:rsidP="003E31EE">
      <w:pPr>
        <w:pStyle w:val="Tablecaption"/>
        <w:spacing w:before="240" w:after="240"/>
      </w:pPr>
      <w:r w:rsidRPr="003E31EE">
        <w:t xml:space="preserve">Supplementary Table </w:t>
      </w:r>
      <w:r w:rsidRPr="003E31EE">
        <w:t>1</w:t>
      </w:r>
      <w:r>
        <w:t>.</w:t>
      </w:r>
      <w:r w:rsidRPr="00555933">
        <w:t xml:space="preserve"> Impact of transvenous lead extraction on tricuspid valve function.</w:t>
      </w:r>
    </w:p>
    <w:tbl>
      <w:tblPr>
        <w:tblW w:w="9067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2"/>
        <w:gridCol w:w="1523"/>
        <w:gridCol w:w="1524"/>
        <w:gridCol w:w="1524"/>
        <w:gridCol w:w="1524"/>
      </w:tblGrid>
      <w:tr w:rsidR="003E31EE" w:rsidRPr="003E31EE" w:rsidTr="003E31EE">
        <w:trPr>
          <w:trHeight w:val="284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TVR before TLE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TVR after TLE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 xml:space="preserve">Number </w:t>
            </w: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br/>
              <w:t>of patients</w:t>
            </w:r>
          </w:p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N (%)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 xml:space="preserve">Change in TVR severity </w:t>
            </w: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br/>
              <w:t>[0-4]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5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5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5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9067" w:type="dxa"/>
            <w:gridSpan w:val="5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change in TV function; n = 2218 / 2693 (82.36%)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(1.49)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1173 (52.89)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624 (28.13)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 (13.21)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 (4.28)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change in TV function (all) </w:t>
            </w: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2218 (100.0)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9067" w:type="dxa"/>
            <w:gridSpan w:val="5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Improvement in TV function; n = 218 / 2693 (8.10%)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(3.211)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 (35.78)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 (34.86)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(14.22)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(9.63)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(1.84)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(0.46)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Improvement in TV function (all)</w:t>
            </w: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218 (100.0)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9067" w:type="dxa"/>
            <w:gridSpan w:val="5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Impairment of TV function; n = 257 / 2693 (9.54%)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(10.51)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 (33.85)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 (20.23)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(8.56)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(1.17)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(17.51)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(3.50)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(0.39)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(4.28)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3E31EE" w:rsidRPr="003E31EE" w:rsidTr="003E31EE">
        <w:trPr>
          <w:trHeight w:val="284"/>
          <w:jc w:val="center"/>
        </w:trPr>
        <w:tc>
          <w:tcPr>
            <w:tcW w:w="2972" w:type="dxa"/>
            <w:shd w:val="clear" w:color="auto" w:fill="auto"/>
            <w:noWrap/>
            <w:vAlign w:val="center"/>
          </w:tcPr>
          <w:p w:rsidR="003E31EE" w:rsidRPr="003E31EE" w:rsidRDefault="003E31EE" w:rsidP="009C57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Impairment of TV function (all)</w:t>
            </w:r>
          </w:p>
        </w:tc>
        <w:tc>
          <w:tcPr>
            <w:tcW w:w="1523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257 (100.0)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3E31EE" w:rsidRPr="003E31EE" w:rsidRDefault="003E31EE" w:rsidP="009C5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3E31EE" w:rsidRPr="00555933" w:rsidRDefault="003E31EE" w:rsidP="003E31EE">
      <w:pPr>
        <w:pStyle w:val="Text"/>
        <w:ind w:firstLineChars="0" w:firstLine="0"/>
      </w:pPr>
      <w:r w:rsidRPr="00555933">
        <w:t>TVR – tricuspid valve regurgitation, TLE – transvenous lead extraction, N – number, TV – tricuspid valve</w:t>
      </w:r>
    </w:p>
    <w:p w:rsidR="003E31EE" w:rsidRPr="00555933" w:rsidRDefault="003E31EE" w:rsidP="003E31EE">
      <w:pPr>
        <w:pBdr>
          <w:top w:val="single" w:sz="4" w:space="1" w:color="auto"/>
        </w:pBdr>
        <w:jc w:val="both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</w:p>
    <w:p w:rsidR="003E31EE" w:rsidRPr="00555933" w:rsidRDefault="003E31EE" w:rsidP="003E31EE">
      <w:pPr>
        <w:pBdr>
          <w:top w:val="single" w:sz="4" w:space="1" w:color="auto"/>
        </w:pBdr>
        <w:jc w:val="both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</w:p>
    <w:p w:rsidR="003E31EE" w:rsidRPr="00555933" w:rsidRDefault="003E31EE" w:rsidP="003E31EE">
      <w:pPr>
        <w:rPr>
          <w:color w:val="FF0000"/>
          <w:sz w:val="20"/>
          <w:szCs w:val="20"/>
          <w:lang w:val="en-US"/>
        </w:rPr>
      </w:pPr>
    </w:p>
    <w:p w:rsidR="003E31EE" w:rsidRPr="00555933" w:rsidRDefault="003E31EE" w:rsidP="003E31EE">
      <w:pPr>
        <w:pStyle w:val="Tablecaption"/>
        <w:spacing w:before="240" w:after="240"/>
      </w:pPr>
      <w:r w:rsidRPr="003E31EE">
        <w:t xml:space="preserve">Supplementary </w:t>
      </w:r>
      <w:r>
        <w:t xml:space="preserve">Table </w:t>
      </w:r>
      <w:r w:rsidRPr="00555933">
        <w:t>2</w:t>
      </w:r>
      <w:r>
        <w:t>.</w:t>
      </w:r>
      <w:r w:rsidRPr="00555933">
        <w:t xml:space="preserve"> Procedure complexity, efficacy, complications, outcomes and long-term mortality after TLE in the study population.</w:t>
      </w:r>
    </w:p>
    <w:tbl>
      <w:tblPr>
        <w:tblStyle w:val="a3"/>
        <w:tblW w:w="906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559"/>
        <w:gridCol w:w="1559"/>
        <w:gridCol w:w="1559"/>
        <w:gridCol w:w="1560"/>
      </w:tblGrid>
      <w:tr w:rsidR="003E31EE" w:rsidRPr="003E31EE" w:rsidTr="003E31EE">
        <w:trPr>
          <w:trHeight w:val="649"/>
          <w:jc w:val="center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TVR remained unchanged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TVR decreased by 1-3 grades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TVR increased by 1-3 grades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 patients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 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2218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 2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218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 3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257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2693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N (%)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± SD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 (%)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mean ± SD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U Mann Whitney test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P: 2 </w:t>
            </w:r>
            <w:r w:rsidRPr="003E31E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vs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N (%)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mean ± SD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U Mann Whitney test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P: 3 </w:t>
            </w:r>
            <w:r w:rsidRPr="003E31E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vs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P: 3 </w:t>
            </w:r>
            <w:r w:rsidRPr="003E31E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vs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N (%)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mean ± SD</w:t>
            </w:r>
          </w:p>
        </w:tc>
      </w:tr>
      <w:tr w:rsidR="003E31EE" w:rsidRPr="003E31EE" w:rsidTr="003E31EE">
        <w:trPr>
          <w:jc w:val="center"/>
        </w:trPr>
        <w:tc>
          <w:tcPr>
            <w:tcW w:w="9067" w:type="dxa"/>
            <w:gridSpan w:val="5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Procedure complexity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Technical problems during TLE (any)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433 (19.52)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(17.43)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0.427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 (34.63)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560 (20.80)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major technical problems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 ± 0.37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 ± 0.39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0.485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1.30 ± 0.46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0.029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1.17 ± 0.39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Lead-to-lead adhesion (intraprocedural diagnosis)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 (6.22)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17 (7.80)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0.445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(14.79)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0.026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193 (7.17)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 extracted RV leads (per patient)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2190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(0.98 ± 0.56)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234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(1.07 ± 0.54)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0.045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284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(1.11 ± 0.52)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0.010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0.771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2708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(1.01 ± 0.55)</w:t>
            </w:r>
          </w:p>
        </w:tc>
      </w:tr>
      <w:tr w:rsidR="003E31EE" w:rsidRPr="003E31EE" w:rsidTr="003E31EE">
        <w:trPr>
          <w:jc w:val="center"/>
        </w:trPr>
        <w:tc>
          <w:tcPr>
            <w:tcW w:w="9067" w:type="dxa"/>
            <w:gridSpan w:val="5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Potential procedure-related risk factors for major complications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extracted leads per patient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1.65 ± 0.72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1.74 ± 0.70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0.080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1.79 ± 0.83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0.002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0.469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1.67 ± 0.73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Extraction of ICD leads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654 (29.49)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 (28.90)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0.918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(15.56)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757 (28.11)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Extraction of abandoned leads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199 (8.97)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(8.72)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0.988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(17.90)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0.006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264 (9.80)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Dwell time of the oldest lead extracted per patient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98.65 ± 74.09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105.5 ± 70.61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0.122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140.7 ± 80.72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103.2 ± 75.42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Cumulative dwell time of extracted leads [years]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13.38 ± 12.44 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15.80 ± 13.62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0.008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20.14 ± 14.66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14.22 ± 12.92</w:t>
            </w:r>
          </w:p>
        </w:tc>
      </w:tr>
      <w:tr w:rsidR="003E31EE" w:rsidRPr="003E31EE" w:rsidTr="003E31EE">
        <w:trPr>
          <w:jc w:val="center"/>
        </w:trPr>
        <w:tc>
          <w:tcPr>
            <w:tcW w:w="9067" w:type="dxa"/>
            <w:gridSpan w:val="5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Procedure efficacy and complications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Major complications (any)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(0.99)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(1.38)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0.853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(9.73)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0.002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(1.86)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Procedure-related death (intra-, post-procedural)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(0.00)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(0.00)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(0.00)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(.00)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Complete clinical success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2186 (98.56)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216 (99.08)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0.743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236 (91.93)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2638 (97.96)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Complete procedural success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2133 (96.17)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213 (97.71)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0.337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225 (87.55)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&lt; 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0.001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2571 (95.47)</w:t>
            </w:r>
          </w:p>
        </w:tc>
      </w:tr>
      <w:tr w:rsidR="003E31EE" w:rsidRPr="003E31EE" w:rsidTr="003E31EE">
        <w:trPr>
          <w:jc w:val="center"/>
        </w:trPr>
        <w:tc>
          <w:tcPr>
            <w:tcW w:w="9067" w:type="dxa"/>
            <w:gridSpan w:val="5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Long-term mortality after TLE</w:t>
            </w:r>
          </w:p>
        </w:tc>
      </w:tr>
      <w:tr w:rsidR="003E31EE" w:rsidRPr="003E31EE" w:rsidTr="003E31EE">
        <w:trPr>
          <w:jc w:val="center"/>
        </w:trPr>
        <w:tc>
          <w:tcPr>
            <w:tcW w:w="2830" w:type="dxa"/>
            <w:vAlign w:val="center"/>
          </w:tcPr>
          <w:p w:rsidR="003E31EE" w:rsidRPr="003E31EE" w:rsidRDefault="003E31EE" w:rsidP="009C57F4">
            <w:pPr>
              <w:ind w:left="400" w:hanging="40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Death over 1673 ± 1213 </w:t>
            </w:r>
            <w:r w:rsidRPr="003E31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br/>
              <w:t>(1 – 5100) days of follow-up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682 (30.75)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54 (24.77) 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 rank test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0.411</w:t>
            </w:r>
          </w:p>
        </w:tc>
        <w:tc>
          <w:tcPr>
            <w:tcW w:w="1559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 (25.68)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Log rank test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0.965</w:t>
            </w:r>
          </w:p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 =</w:t>
            </w: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0.451</w:t>
            </w:r>
          </w:p>
        </w:tc>
        <w:tc>
          <w:tcPr>
            <w:tcW w:w="1560" w:type="dxa"/>
            <w:vAlign w:val="center"/>
          </w:tcPr>
          <w:p w:rsidR="003E31EE" w:rsidRPr="003E31EE" w:rsidRDefault="003E31EE" w:rsidP="009C57F4">
            <w:pPr>
              <w:ind w:left="400" w:hanging="4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31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802 (29.78)</w:t>
            </w:r>
          </w:p>
        </w:tc>
      </w:tr>
    </w:tbl>
    <w:p w:rsidR="003E31EE" w:rsidRPr="00555933" w:rsidRDefault="003E31EE" w:rsidP="003E31EE">
      <w:pPr>
        <w:pStyle w:val="Text"/>
        <w:ind w:firstLineChars="0" w:firstLine="0"/>
      </w:pPr>
      <w:r w:rsidRPr="00555933">
        <w:t>TLE – transvenous lead extraction, TVR – tricuspid valve regurgitation, TV – tricuspid valve, RV – right ventricle</w:t>
      </w:r>
    </w:p>
    <w:p w:rsidR="003E31EE" w:rsidRPr="00555933" w:rsidRDefault="003E31EE" w:rsidP="003E31EE">
      <w:pPr>
        <w:rPr>
          <w:color w:val="FF0000"/>
          <w:sz w:val="20"/>
          <w:szCs w:val="20"/>
          <w:lang w:val="en-US"/>
        </w:rPr>
      </w:pPr>
    </w:p>
    <w:p w:rsidR="003E31EE" w:rsidRPr="00555933" w:rsidRDefault="003E31EE" w:rsidP="003E31EE">
      <w:pPr>
        <w:pStyle w:val="Tablecaption"/>
        <w:spacing w:before="240" w:after="240"/>
      </w:pPr>
      <w:r w:rsidRPr="003E31EE">
        <w:t>Supplementary</w:t>
      </w:r>
      <w:r w:rsidRPr="00555933">
        <w:t xml:space="preserve"> </w:t>
      </w:r>
      <w:r>
        <w:t xml:space="preserve">Table </w:t>
      </w:r>
      <w:r w:rsidRPr="00555933">
        <w:t>3. Effects of the direction of change in tricuspid regurgitation on long-term survival depending on regurgitation grade before TLE; results of univariable Cox regression analysis.</w:t>
      </w:r>
    </w:p>
    <w:tbl>
      <w:tblPr>
        <w:tblW w:w="893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1275"/>
        <w:gridCol w:w="850"/>
        <w:gridCol w:w="1417"/>
        <w:gridCol w:w="709"/>
        <w:gridCol w:w="710"/>
        <w:gridCol w:w="1559"/>
        <w:gridCol w:w="851"/>
      </w:tblGrid>
      <w:tr w:rsidR="003E31EE" w:rsidRPr="006C6E5D" w:rsidTr="003E31EE">
        <w:trPr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3E31EE" w:rsidRPr="00555933" w:rsidRDefault="003E31EE" w:rsidP="003E31EE">
            <w:pPr>
              <w:pStyle w:val="Tablebody"/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  <w:r w:rsidRPr="00555933">
              <w:t>Improvement of TV function after TLE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  <w:r w:rsidRPr="00555933">
              <w:t>Deterioration of TV function after TLE</w:t>
            </w:r>
          </w:p>
        </w:tc>
      </w:tr>
      <w:tr w:rsidR="003E31EE" w:rsidRPr="00555933" w:rsidTr="003E31EE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TV function before TLE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 xml:space="preserve">Number </w:t>
            </w:r>
            <w:r w:rsidRPr="00555933">
              <w:br/>
              <w:t xml:space="preserve">of patients </w:t>
            </w:r>
          </w:p>
          <w:p w:rsidR="003E31EE" w:rsidRPr="00555933" w:rsidRDefault="003E31EE" w:rsidP="003E31EE">
            <w:pPr>
              <w:pStyle w:val="Tablebody"/>
            </w:pPr>
            <w:r w:rsidRPr="00555933">
              <w:t>N (%)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HR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95%CI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P</w:t>
            </w:r>
          </w:p>
        </w:tc>
        <w:tc>
          <w:tcPr>
            <w:tcW w:w="7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HR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95%CI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P</w:t>
            </w:r>
          </w:p>
        </w:tc>
      </w:tr>
      <w:tr w:rsidR="003E31EE" w:rsidRPr="00555933" w:rsidTr="003E31EE">
        <w:trPr>
          <w:jc w:val="center"/>
        </w:trPr>
        <w:tc>
          <w:tcPr>
            <w:tcW w:w="1560" w:type="dxa"/>
            <w:shd w:val="clear" w:color="auto" w:fill="FFFFFF"/>
            <w:noWrap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All patients</w:t>
            </w:r>
          </w:p>
        </w:tc>
        <w:tc>
          <w:tcPr>
            <w:tcW w:w="1275" w:type="dxa"/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  <w:r w:rsidRPr="00555933">
              <w:t>2693 (100.0)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1.022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0.777 - 1.344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0.878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0.912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0.716 - 1.162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0.458</w:t>
            </w:r>
          </w:p>
        </w:tc>
      </w:tr>
      <w:tr w:rsidR="003E31EE" w:rsidRPr="00555933" w:rsidTr="003E31EE">
        <w:trPr>
          <w:jc w:val="center"/>
        </w:trPr>
        <w:tc>
          <w:tcPr>
            <w:tcW w:w="1560" w:type="dxa"/>
            <w:shd w:val="clear" w:color="auto" w:fill="FFFFFF"/>
            <w:noWrap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Lack of TVR</w:t>
            </w:r>
          </w:p>
        </w:tc>
        <w:tc>
          <w:tcPr>
            <w:tcW w:w="1275" w:type="dxa"/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  <w:r w:rsidRPr="00555933">
              <w:t>64 (2.38)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2.274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0.441 - 11.74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0.327</w:t>
            </w:r>
          </w:p>
        </w:tc>
      </w:tr>
      <w:tr w:rsidR="003E31EE" w:rsidRPr="00555933" w:rsidTr="003E31EE">
        <w:trPr>
          <w:jc w:val="center"/>
        </w:trPr>
        <w:tc>
          <w:tcPr>
            <w:tcW w:w="1560" w:type="dxa"/>
            <w:shd w:val="clear" w:color="auto" w:fill="FFFFFF"/>
            <w:noWrap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TVR ≥ grade 1</w:t>
            </w:r>
          </w:p>
        </w:tc>
        <w:tc>
          <w:tcPr>
            <w:tcW w:w="1275" w:type="dxa"/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  <w:r w:rsidRPr="00555933">
              <w:t>2629 (97.62)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1.020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0.776 - 1.343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0.882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0.915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0.719 - 1.166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0.474</w:t>
            </w:r>
          </w:p>
        </w:tc>
      </w:tr>
      <w:tr w:rsidR="003E31EE" w:rsidRPr="00555933" w:rsidTr="003E31EE">
        <w:trPr>
          <w:jc w:val="center"/>
        </w:trPr>
        <w:tc>
          <w:tcPr>
            <w:tcW w:w="1560" w:type="dxa"/>
            <w:shd w:val="clear" w:color="auto" w:fill="FFFFFF"/>
            <w:noWrap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TVR ≥ grade 2</w:t>
            </w:r>
          </w:p>
        </w:tc>
        <w:tc>
          <w:tcPr>
            <w:tcW w:w="1275" w:type="dxa"/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  <w:r w:rsidRPr="00555933">
              <w:t>1306 (48.50)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0.736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0.555 - 0.975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0.033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0.917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0.637 - 1.319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0.639</w:t>
            </w:r>
          </w:p>
        </w:tc>
      </w:tr>
      <w:tr w:rsidR="003E31EE" w:rsidRPr="00555933" w:rsidTr="003E31EE">
        <w:trPr>
          <w:jc w:val="center"/>
        </w:trPr>
        <w:tc>
          <w:tcPr>
            <w:tcW w:w="1560" w:type="dxa"/>
            <w:shd w:val="clear" w:color="auto" w:fill="FFFFFF"/>
            <w:noWrap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TVR ≥ grade 3</w:t>
            </w:r>
          </w:p>
        </w:tc>
        <w:tc>
          <w:tcPr>
            <w:tcW w:w="1275" w:type="dxa"/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  <w:r w:rsidRPr="00555933">
              <w:t>544 (20.20)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0.573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0.405 - 0.809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0.002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0.738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0.347 - 1.568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0.429</w:t>
            </w:r>
          </w:p>
        </w:tc>
      </w:tr>
      <w:tr w:rsidR="003E31EE" w:rsidRPr="00555933" w:rsidTr="003E31EE">
        <w:trPr>
          <w:jc w:val="center"/>
        </w:trPr>
        <w:tc>
          <w:tcPr>
            <w:tcW w:w="1560" w:type="dxa"/>
            <w:shd w:val="clear" w:color="auto" w:fill="FFFFFF"/>
            <w:noWrap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TVR = grade 4</w:t>
            </w:r>
          </w:p>
        </w:tc>
        <w:tc>
          <w:tcPr>
            <w:tcW w:w="1275" w:type="dxa"/>
            <w:shd w:val="clear" w:color="auto" w:fill="FFFFFF"/>
          </w:tcPr>
          <w:p w:rsidR="003E31EE" w:rsidRPr="00555933" w:rsidRDefault="003E31EE" w:rsidP="003E31EE">
            <w:pPr>
              <w:pStyle w:val="Tablebody"/>
            </w:pPr>
            <w:r w:rsidRPr="00555933">
              <w:t>131 (4.86)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0.502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0.264 - 0.953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  <w:r w:rsidRPr="00555933">
              <w:t>0.035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3E31EE" w:rsidRPr="00555933" w:rsidRDefault="003E31EE" w:rsidP="003E31EE">
            <w:pPr>
              <w:pStyle w:val="Tablebody"/>
            </w:pPr>
          </w:p>
        </w:tc>
      </w:tr>
    </w:tbl>
    <w:p w:rsidR="003E31EE" w:rsidRPr="00704066" w:rsidRDefault="003E31EE" w:rsidP="003E31EE">
      <w:pPr>
        <w:pStyle w:val="Text"/>
        <w:ind w:firstLineChars="0" w:firstLine="0"/>
      </w:pPr>
      <w:r w:rsidRPr="00555933">
        <w:t>TV – tricuspid valve, TLE – transvenous lead extraction, TVR – tricuspid valve regurgitation</w:t>
      </w:r>
    </w:p>
    <w:p w:rsidR="006373EF" w:rsidRDefault="006373EF">
      <w:pPr>
        <w:ind w:firstLine="420"/>
      </w:pPr>
      <w:bookmarkStart w:id="0" w:name="_GoBack"/>
      <w:bookmarkEnd w:id="0"/>
    </w:p>
    <w:sectPr w:rsidR="006373EF" w:rsidSect="00076EE0">
      <w:headerReference w:type="first" r:id="rId5"/>
      <w:pgSz w:w="11906" w:h="16838"/>
      <w:pgMar w:top="1134" w:right="851" w:bottom="1134" w:left="851" w:header="283" w:footer="113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F71" w:rsidRDefault="003E31EE">
    <w:pPr>
      <w:pStyle w:val="a4"/>
    </w:pPr>
    <w:r>
      <w:rPr>
        <w:noProof/>
        <w:lang w:val="en-US" w:eastAsia="zh-CN"/>
      </w:rPr>
      <w:drawing>
        <wp:inline distT="0" distB="0" distL="0" distR="0" wp14:anchorId="3602129F" wp14:editId="08912FBD">
          <wp:extent cx="3277040" cy="525583"/>
          <wp:effectExtent l="0" t="0" r="0" b="825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CM-Logo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67630" cy="5401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  <w:num w:numId="5">
    <w:abstractNumId w:val="0"/>
  </w:num>
  <w:num w:numId="6">
    <w:abstractNumId w:val="1"/>
  </w:num>
  <w:num w:numId="7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stylePaneFormatFilter w:val="F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1EE"/>
    <w:rsid w:val="00006680"/>
    <w:rsid w:val="000877FC"/>
    <w:rsid w:val="000C10C2"/>
    <w:rsid w:val="000F567D"/>
    <w:rsid w:val="00152EA0"/>
    <w:rsid w:val="001A0711"/>
    <w:rsid w:val="002B6333"/>
    <w:rsid w:val="00304C1C"/>
    <w:rsid w:val="003370A1"/>
    <w:rsid w:val="003E31EE"/>
    <w:rsid w:val="00415F84"/>
    <w:rsid w:val="00441AD2"/>
    <w:rsid w:val="004E529B"/>
    <w:rsid w:val="00600382"/>
    <w:rsid w:val="006373EF"/>
    <w:rsid w:val="006624B1"/>
    <w:rsid w:val="0071477E"/>
    <w:rsid w:val="007505E7"/>
    <w:rsid w:val="007745D7"/>
    <w:rsid w:val="007B334F"/>
    <w:rsid w:val="007D0CCC"/>
    <w:rsid w:val="00810132"/>
    <w:rsid w:val="00810C47"/>
    <w:rsid w:val="0083031C"/>
    <w:rsid w:val="00875377"/>
    <w:rsid w:val="00896058"/>
    <w:rsid w:val="0090252B"/>
    <w:rsid w:val="00965AA5"/>
    <w:rsid w:val="00A36E11"/>
    <w:rsid w:val="00A479E5"/>
    <w:rsid w:val="00A70FA3"/>
    <w:rsid w:val="00B93363"/>
    <w:rsid w:val="00B94C7F"/>
    <w:rsid w:val="00CB2603"/>
    <w:rsid w:val="00CD267D"/>
    <w:rsid w:val="00D75792"/>
    <w:rsid w:val="00E1353C"/>
    <w:rsid w:val="00E16972"/>
    <w:rsid w:val="00E26481"/>
    <w:rsid w:val="00E470AA"/>
    <w:rsid w:val="00E4715E"/>
    <w:rsid w:val="00E6286C"/>
    <w:rsid w:val="00EB2AB2"/>
    <w:rsid w:val="00F16167"/>
    <w:rsid w:val="00F73AB7"/>
    <w:rsid w:val="00FC6F3C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B3C5D"/>
  <w15:chartTrackingRefBased/>
  <w15:docId w15:val="{40DE2257-3D2E-4E9E-86E5-433AB3118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 w:uiPriority="99"/>
    <w:lsdException w:name="footer" w:semiHidden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qFormat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/>
    <w:lsdException w:name="Table Theme" w:semiHidden="1" w:unhideWhenUsed="1"/>
    <w:lsdException w:name="Placeholder Text" w:semiHidden="1" w:uiPriority="99"/>
    <w:lsdException w:name="No Spacing" w:semiHidden="1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1EE"/>
    <w:pPr>
      <w:spacing w:after="160" w:line="259" w:lineRule="auto"/>
    </w:pPr>
    <w:rPr>
      <w:rFonts w:asciiTheme="minorHAnsi" w:eastAsiaTheme="minorEastAsia" w:hAnsiTheme="minorHAnsi" w:cstheme="minorBidi"/>
      <w:kern w:val="0"/>
      <w:sz w:val="22"/>
      <w:szCs w:val="22"/>
      <w:lang w:val="pl-PL" w:eastAsia="en-US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810C47"/>
    <w:pPr>
      <w:keepNext/>
      <w:keepLines/>
      <w:adjustRightInd w:val="0"/>
      <w:snapToGrid w:val="0"/>
      <w:spacing w:before="360" w:after="3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  <w:lang w:val="en-US" w:eastAsia="zh-CN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810C47"/>
    <w:pPr>
      <w:keepNext/>
      <w:keepLines/>
      <w:adjustRightInd w:val="0"/>
      <w:snapToGrid w:val="0"/>
      <w:spacing w:before="240" w:after="24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sz w:val="21"/>
      <w:szCs w:val="21"/>
      <w:lang w:val="en-US" w:eastAsia="zh-CN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810C47"/>
    <w:pPr>
      <w:keepNext/>
      <w:keepLines/>
      <w:adjustRightInd w:val="0"/>
      <w:snapToGrid w:val="0"/>
      <w:spacing w:before="160" w:line="240" w:lineRule="auto"/>
      <w:jc w:val="both"/>
      <w:outlineLvl w:val="2"/>
    </w:pPr>
    <w:rPr>
      <w:rFonts w:ascii="Times New Roman" w:eastAsia="Times New Roman" w:hAnsi="Times New Roman" w:cs="Times New Roman"/>
      <w:bCs/>
      <w:i/>
      <w:noProof/>
      <w:color w:val="000000"/>
      <w:sz w:val="21"/>
      <w:szCs w:val="21"/>
      <w:lang w:val="en-US" w:eastAsia="zh-CN"/>
    </w:rPr>
  </w:style>
  <w:style w:type="paragraph" w:styleId="4">
    <w:name w:val="heading 4"/>
    <w:basedOn w:val="a"/>
    <w:next w:val="a"/>
    <w:link w:val="40"/>
    <w:semiHidden/>
    <w:qFormat/>
    <w:rsid w:val="00A479E5"/>
    <w:pPr>
      <w:keepNext/>
      <w:keepLines/>
      <w:widowControl w:val="0"/>
      <w:spacing w:before="280" w:after="290" w:line="376" w:lineRule="auto"/>
      <w:jc w:val="both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  <w:lang w:val="en-US" w:eastAsia="zh-CN"/>
    </w:rPr>
  </w:style>
  <w:style w:type="paragraph" w:styleId="6">
    <w:name w:val="heading 6"/>
    <w:basedOn w:val="a"/>
    <w:next w:val="a"/>
    <w:link w:val="60"/>
    <w:semiHidden/>
    <w:qFormat/>
    <w:rsid w:val="00A479E5"/>
    <w:pPr>
      <w:keepNext/>
      <w:keepLines/>
      <w:widowControl w:val="0"/>
      <w:spacing w:before="240" w:after="64" w:line="320" w:lineRule="auto"/>
      <w:jc w:val="both"/>
      <w:outlineLvl w:val="5"/>
    </w:pPr>
    <w:rPr>
      <w:rFonts w:asciiTheme="majorHAnsi" w:eastAsiaTheme="majorEastAsia" w:hAnsiTheme="majorHAnsi" w:cstheme="majorBidi"/>
      <w:b/>
      <w:bCs/>
      <w:kern w:val="2"/>
      <w:sz w:val="24"/>
      <w:szCs w:val="20"/>
      <w:lang w:val="en-US" w:eastAsia="zh-CN"/>
    </w:rPr>
  </w:style>
  <w:style w:type="paragraph" w:styleId="7">
    <w:name w:val="heading 7"/>
    <w:basedOn w:val="a"/>
    <w:next w:val="a"/>
    <w:link w:val="70"/>
    <w:semiHidden/>
    <w:qFormat/>
    <w:rsid w:val="00A479E5"/>
    <w:pPr>
      <w:keepNext/>
      <w:keepLines/>
      <w:widowControl w:val="0"/>
      <w:spacing w:before="240" w:after="64" w:line="320" w:lineRule="auto"/>
      <w:jc w:val="both"/>
      <w:outlineLvl w:val="6"/>
    </w:pPr>
    <w:rPr>
      <w:rFonts w:ascii="Times New Roman" w:eastAsia="宋体" w:hAnsi="Times New Roman" w:cs="Times New Roman"/>
      <w:b/>
      <w:bCs/>
      <w:kern w:val="2"/>
      <w:sz w:val="24"/>
      <w:szCs w:val="20"/>
      <w:lang w:val="en-US" w:eastAsia="zh-CN"/>
    </w:rPr>
  </w:style>
  <w:style w:type="paragraph" w:styleId="8">
    <w:name w:val="heading 8"/>
    <w:basedOn w:val="a"/>
    <w:next w:val="a"/>
    <w:link w:val="80"/>
    <w:semiHidden/>
    <w:qFormat/>
    <w:rsid w:val="00A479E5"/>
    <w:pPr>
      <w:keepNext/>
      <w:keepLines/>
      <w:widowControl w:val="0"/>
      <w:spacing w:before="240" w:after="64" w:line="320" w:lineRule="auto"/>
      <w:jc w:val="both"/>
      <w:outlineLvl w:val="7"/>
    </w:pPr>
    <w:rPr>
      <w:rFonts w:asciiTheme="majorHAnsi" w:eastAsiaTheme="majorEastAsia" w:hAnsiTheme="majorHAnsi" w:cstheme="majorBidi"/>
      <w:kern w:val="2"/>
      <w:sz w:val="24"/>
      <w:szCs w:val="20"/>
      <w:lang w:val="en-US" w:eastAsia="zh-CN"/>
    </w:rPr>
  </w:style>
  <w:style w:type="paragraph" w:styleId="9">
    <w:name w:val="heading 9"/>
    <w:basedOn w:val="a"/>
    <w:next w:val="a"/>
    <w:link w:val="90"/>
    <w:semiHidden/>
    <w:qFormat/>
    <w:rsid w:val="00A479E5"/>
    <w:pPr>
      <w:keepNext/>
      <w:keepLines/>
      <w:widowControl w:val="0"/>
      <w:spacing w:before="240" w:after="64" w:line="320" w:lineRule="auto"/>
      <w:jc w:val="both"/>
      <w:outlineLvl w:val="8"/>
    </w:pPr>
    <w:rPr>
      <w:rFonts w:asciiTheme="majorHAnsi" w:eastAsiaTheme="majorEastAsia" w:hAnsiTheme="majorHAnsi" w:cstheme="majorBidi"/>
      <w:kern w:val="2"/>
      <w:sz w:val="20"/>
      <w:szCs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810C47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810C47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810C47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810C47"/>
    <w:pPr>
      <w:numPr>
        <w:numId w:val="7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810C4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810C4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810C47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810C47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810C47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810C47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810C4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810C47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810C47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810C47"/>
    <w:rPr>
      <w:rFonts w:eastAsia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810C47"/>
    <w:rPr>
      <w:rFonts w:eastAsia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semiHidden/>
    <w:rsid w:val="00A479E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0">
    <w:name w:val="标题 6 字符"/>
    <w:basedOn w:val="a0"/>
    <w:link w:val="6"/>
    <w:semiHidden/>
    <w:rsid w:val="00A479E5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semiHidden/>
    <w:rsid w:val="00A479E5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semiHidden/>
    <w:rsid w:val="00A479E5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semiHidden/>
    <w:rsid w:val="00A479E5"/>
    <w:rPr>
      <w:rFonts w:asciiTheme="majorHAnsi" w:eastAsiaTheme="majorEastAsia" w:hAnsiTheme="majorHAnsi" w:cstheme="majorBidi"/>
    </w:rPr>
  </w:style>
  <w:style w:type="character" w:customStyle="1" w:styleId="Reference0">
    <w:name w:val="Reference 字符"/>
    <w:basedOn w:val="Keywords0"/>
    <w:link w:val="Reference"/>
    <w:uiPriority w:val="19"/>
    <w:rsid w:val="00810C47"/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810C47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810C47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810C47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810C47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table" w:styleId="a3">
    <w:name w:val="Table Grid"/>
    <w:basedOn w:val="a1"/>
    <w:uiPriority w:val="39"/>
    <w:rsid w:val="003E31EE"/>
    <w:rPr>
      <w:rFonts w:asciiTheme="minorHAnsi" w:eastAsiaTheme="minorEastAsia" w:hAnsiTheme="minorHAnsi" w:cstheme="minorBidi"/>
      <w:kern w:val="0"/>
      <w:sz w:val="22"/>
      <w:szCs w:val="22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rsid w:val="003E3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semiHidden/>
    <w:rsid w:val="003E31EE"/>
    <w:rPr>
      <w:rFonts w:asciiTheme="minorHAnsi" w:eastAsiaTheme="minorEastAsia" w:hAnsiTheme="minorHAnsi" w:cstheme="minorBidi"/>
      <w:kern w:val="0"/>
      <w:sz w:val="22"/>
      <w:szCs w:val="22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638</Words>
  <Characters>3637</Characters>
  <Application>Microsoft Office Word</Application>
  <DocSecurity>0</DocSecurity>
  <Lines>30</Lines>
  <Paragraphs>8</Paragraphs>
  <ScaleCrop>false</ScaleCrop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sia</cp:lastModifiedBy>
  <cp:revision>1</cp:revision>
  <dcterms:created xsi:type="dcterms:W3CDTF">2024-02-29T02:58:00Z</dcterms:created>
  <dcterms:modified xsi:type="dcterms:W3CDTF">2024-02-29T03:00:00Z</dcterms:modified>
</cp:coreProperties>
</file>