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 xml:space="preserve">Supplementary </w:t>
      </w:r>
      <w:r>
        <w:rPr>
          <w:rFonts w:ascii="微软雅黑" w:hAnsi="微软雅黑" w:eastAsia="微软雅黑"/>
          <w:b/>
          <w:sz w:val="28"/>
          <w:szCs w:val="28"/>
        </w:rPr>
        <w:t>material</w:t>
      </w:r>
    </w:p>
    <w:tbl>
      <w:tblPr>
        <w:tblStyle w:val="9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5"/>
        <w:gridCol w:w="1812"/>
        <w:gridCol w:w="1842"/>
        <w:gridCol w:w="660"/>
        <w:gridCol w:w="2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blHeader/>
          <w:jc w:val="center"/>
        </w:trPr>
        <w:tc>
          <w:tcPr>
            <w:tcW w:w="7979" w:type="dxa"/>
            <w:gridSpan w:val="4"/>
            <w:tcBorders>
              <w:top w:val="nil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i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Table 1</w:t>
            </w: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 xml:space="preserve"> Characteristics of patients with non-ISR and ISR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812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non-ISR</w:t>
            </w:r>
          </w:p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(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n=164)</w:t>
            </w:r>
          </w:p>
        </w:tc>
        <w:tc>
          <w:tcPr>
            <w:tcW w:w="1842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>ISR</w:t>
            </w:r>
          </w:p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(n=42)</w:t>
            </w:r>
          </w:p>
        </w:tc>
        <w:tc>
          <w:tcPr>
            <w:tcW w:w="882" w:type="dxa"/>
            <w:gridSpan w:val="2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 xml:space="preserve"> value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Age, year</w:t>
            </w:r>
          </w:p>
        </w:tc>
        <w:tc>
          <w:tcPr>
            <w:tcW w:w="1812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61.73±10.19</w:t>
            </w:r>
          </w:p>
        </w:tc>
        <w:tc>
          <w:tcPr>
            <w:tcW w:w="1842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62.12±10.60</w:t>
            </w:r>
          </w:p>
        </w:tc>
        <w:tc>
          <w:tcPr>
            <w:tcW w:w="882" w:type="dxa"/>
            <w:gridSpan w:val="2"/>
            <w:tcBorders>
              <w:top w:val="single" w:color="000000" w:themeColor="text1" w:sz="4" w:space="0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0.436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Male,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40 (24.4)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9 (21.4)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0.688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BMI, kg/m</w:t>
            </w:r>
            <w:r>
              <w:rPr>
                <w:rFonts w:ascii="微软雅黑" w:hAnsi="微软雅黑" w:eastAsia="微软雅黑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24.48±3.22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24.97±2.91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0.436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Obesity,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16 (9.8)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5 (11.9)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0.681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Hypertension,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105 (64.0)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25 (59.5)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0.590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Diabetes mellitus,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87 (53.0)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24 (57.1)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0.635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Current smoking,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46 (28.0)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16 (38.1)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0.205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TC, mmol/L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4.27 [3.47,5.37]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4.74 [3.59,5.85]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0.155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TG, mmol/L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1.54 [1.11,2.35]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1.49 [1.17,2.20]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0.946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HDL-C, mmol/L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center"/>
            </w:pPr>
            <w:r>
              <w:t>0.94±0.24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center"/>
            </w:pPr>
            <w:r>
              <w:t>0.95±0.20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0.785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LDL-C, mmol/L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center"/>
            </w:pPr>
            <w:r>
              <w:t>2.81±1.09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center"/>
            </w:pPr>
            <w:r>
              <w:t>3.14±1.09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0.089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eGFR, mL/min/1.73m</w:t>
            </w:r>
            <w:r>
              <w:rPr>
                <w:rFonts w:ascii="微软雅黑" w:hAnsi="微软雅黑" w:eastAsia="微软雅黑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center"/>
            </w:pPr>
            <w:r>
              <w:t>88.0 [72.8,95.6]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center"/>
            </w:pPr>
            <w:r>
              <w:t>83.9 [69.1,92.5]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right"/>
            </w:pPr>
            <w:r>
              <w:t>0.389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UA, umol/L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  <w:r>
              <w:t>395.5±117.9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  <w:r>
              <w:t>403.1±99.7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right"/>
            </w:pPr>
            <w:r>
              <w:t>0.718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HbA1c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6.1 [5.6,6.8]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6.0 [5.5,7.7]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0.591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Hemoglobin, g/L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center"/>
            </w:pPr>
            <w:r>
              <w:rPr>
                <w:rFonts w:hint="eastAsia"/>
              </w:rPr>
              <w:t>1</w:t>
            </w:r>
            <w:r>
              <w:t>35 [126,146]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center"/>
            </w:pPr>
            <w:r>
              <w:rPr>
                <w:rFonts w:hint="eastAsia"/>
              </w:rPr>
              <w:t>1</w:t>
            </w:r>
            <w:r>
              <w:t>38 [131,146]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jc w:val="right"/>
            </w:pPr>
            <w:r>
              <w:rPr>
                <w:rFonts w:hint="eastAsia"/>
              </w:rPr>
              <w:t>0</w:t>
            </w:r>
            <w:r>
              <w:t>.314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Medications at discharge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right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180" w:firstLineChars="100"/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Aspirin,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162 (98.8)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41 (97.6)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1.000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180" w:firstLineChars="100"/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Ticagrelor,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  <w:r>
              <w:t>55 (33.5)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  <w:r>
              <w:t>13 (31.0)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right"/>
            </w:pPr>
            <w:r>
              <w:t>0.751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180" w:firstLineChars="100"/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Clopidogrel,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  <w:r>
              <w:t>108 (65.9)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  <w:r>
              <w:t>29 (69.0)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right"/>
            </w:pPr>
            <w:r>
              <w:t>0.696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Statin,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163 (99.4)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41 (97.6)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0.871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rPr>
                <w:rFonts w:hint="eastAsia"/>
              </w:rPr>
              <w:t>β</w:t>
            </w:r>
            <w:r>
              <w:t>-block,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100 (61.0)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27 (64.3)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0.694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ACEI/ARB,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75 (45.7)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24 (57.1)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0.187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Angiography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Multivessel disease,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126 (76.8)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33 (78.6)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0.810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LM disease,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17 (10.4)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3 (7.1)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0.529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Intervention vessel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rPr>
                <w:rFonts w:cs="Times New Roman"/>
                <w:bCs/>
                <w:color w:val="000000"/>
              </w:rPr>
            </w:pPr>
            <w:r>
              <w:t>LM,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5 (3.0)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3 (7.1)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0.437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LAD,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93 (56.7)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25 (59.5)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0.742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LCX,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54 (32.9)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12 (28.6)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0.589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RCA,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61 (37.2)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21 (50.0)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0.130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Type of DES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Sirolimus stent,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121 (73.8)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36 (85.7)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0.105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Everolimus stent,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44 (26.8)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6 (14.3)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0.091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rPr>
                <w:rFonts w:hint="eastAsia"/>
              </w:rPr>
              <w:t>Multiple stents (n≥2), n(%)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86 (52.4)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30 (71.4)</w:t>
            </w:r>
          </w:p>
        </w:tc>
        <w:tc>
          <w:tcPr>
            <w:tcW w:w="882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0.027</w:t>
            </w:r>
          </w:p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0.875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bookmarkStart w:id="0" w:name="_Hlk159660765"/>
            <w:r>
              <w:t>Minimal stent diameter</w:t>
            </w:r>
            <w:bookmarkEnd w:id="0"/>
            <w:r>
              <w:t>, mm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2.75 [2.50,3.00]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2.75 [2.50,3.00]</w:t>
            </w:r>
          </w:p>
        </w:tc>
        <w:tc>
          <w:tcPr>
            <w:tcW w:w="882" w:type="dxa"/>
            <w:gridSpan w:val="2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Stent overlapping, n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11 (6.7)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11</w:t>
            </w:r>
            <w:r>
              <w:rPr>
                <w:rFonts w:ascii="微软雅黑" w:hAnsi="微软雅黑" w:eastAsia="微软雅黑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(26.2)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＜0.001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Maximal expansion pressure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16 [16,18]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18 [16,18]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0.021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Total stent length, mm/patients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39 [28,65]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58 [36,78]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0.019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6"/>
            </w:pPr>
            <w:r>
              <w:t>AHI, events/h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1.09 [5.74,20.40]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2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0.22[11.61,27.50]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b/>
                <w:bCs/>
                <w:sz w:val="18"/>
                <w:szCs w:val="18"/>
              </w:rPr>
              <w:t>.001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6"/>
            </w:pPr>
            <w:bookmarkStart w:id="1" w:name="_Hlk159629116"/>
            <w:r>
              <w:t>Minim</w:t>
            </w:r>
            <w:r>
              <w:rPr>
                <w:rFonts w:hint="eastAsia"/>
              </w:rPr>
              <w:t>al</w:t>
            </w:r>
            <w:r>
              <w:t xml:space="preserve"> SaO</w:t>
            </w:r>
            <w:r>
              <w:rPr>
                <w:vertAlign w:val="subscript"/>
              </w:rPr>
              <w:t>2</w:t>
            </w:r>
            <w:bookmarkEnd w:id="1"/>
            <w:r>
              <w:t xml:space="preserve"> (%)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 xml:space="preserve">85 </w:t>
            </w:r>
            <w:r>
              <w:rPr>
                <w:rFonts w:hint="eastAsia" w:ascii="微软雅黑" w:hAnsi="微软雅黑" w:eastAsia="微软雅黑"/>
                <w:sz w:val="18"/>
                <w:szCs w:val="18"/>
              </w:rPr>
              <w:t>[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83,89]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8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4 [80,88]</w:t>
            </w: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.107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bookmarkStart w:id="2" w:name="_Hlk159629350"/>
            <w:r>
              <w:t>Mean SaO</w:t>
            </w:r>
            <w:r>
              <w:rPr>
                <w:vertAlign w:val="subscript"/>
              </w:rPr>
              <w:t>2</w:t>
            </w:r>
            <w:bookmarkEnd w:id="2"/>
            <w:r>
              <w:t xml:space="preserve"> (%)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9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4 [93,95]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9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5 [92,96]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.609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6"/>
            </w:pPr>
            <w:bookmarkStart w:id="3" w:name="_Hlk159629254"/>
            <w:r>
              <w:t>Total percentage of time of SaO</w:t>
            </w:r>
            <w:r>
              <w:rPr>
                <w:vertAlign w:val="subscript"/>
              </w:rPr>
              <w:t>2</w:t>
            </w:r>
            <w:r>
              <w:t xml:space="preserve"> &lt;90%</w:t>
            </w:r>
            <w:bookmarkEnd w:id="3"/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.41 [0.01,2.22]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.69 [0.09,7.17]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b/>
                <w:bCs/>
                <w:sz w:val="18"/>
                <w:szCs w:val="18"/>
              </w:rPr>
              <w:t>.017</w:t>
            </w:r>
          </w:p>
        </w:tc>
      </w:tr>
    </w:tbl>
    <w:p>
      <w:pPr>
        <w:rPr>
          <w:rFonts w:ascii="微软雅黑" w:hAnsi="微软雅黑" w:eastAsia="微软雅黑"/>
          <w:sz w:val="18"/>
          <w:szCs w:val="18"/>
        </w:rPr>
      </w:pPr>
      <w:r>
        <w:rPr>
          <w:rFonts w:ascii="微软雅黑" w:hAnsi="微软雅黑" w:eastAsia="微软雅黑"/>
          <w:sz w:val="18"/>
          <w:szCs w:val="18"/>
        </w:rPr>
        <w:t>The data are reported as n (%)</w:t>
      </w:r>
      <w:r>
        <w:rPr>
          <w:rFonts w:hint="eastAsia" w:ascii="微软雅黑" w:hAnsi="微软雅黑" w:eastAsia="微软雅黑"/>
          <w:sz w:val="18"/>
          <w:szCs w:val="18"/>
        </w:rPr>
        <w:t xml:space="preserve"> </w:t>
      </w:r>
      <w:r>
        <w:rPr>
          <w:rFonts w:ascii="微软雅黑" w:hAnsi="微软雅黑" w:eastAsia="微软雅黑"/>
          <w:sz w:val="18"/>
          <w:szCs w:val="18"/>
        </w:rPr>
        <w:t>for categorical variables and as the mean</w:t>
      </w:r>
      <w:r>
        <w:rPr>
          <w:rFonts w:hint="eastAsia" w:ascii="微软雅黑" w:hAnsi="微软雅黑" w:eastAsia="微软雅黑"/>
          <w:sz w:val="18"/>
          <w:szCs w:val="18"/>
        </w:rPr>
        <w:t>±</w:t>
      </w:r>
      <w:r>
        <w:rPr>
          <w:rFonts w:ascii="微软雅黑" w:hAnsi="微软雅黑" w:eastAsia="微软雅黑"/>
          <w:sz w:val="18"/>
          <w:szCs w:val="18"/>
        </w:rPr>
        <w:t>SD</w:t>
      </w:r>
      <w:r>
        <w:rPr>
          <w:rFonts w:hint="eastAsia" w:ascii="微软雅黑" w:hAnsi="微软雅黑" w:eastAsia="微软雅黑"/>
          <w:sz w:val="18"/>
          <w:szCs w:val="18"/>
        </w:rPr>
        <w:t xml:space="preserve"> </w:t>
      </w:r>
      <w:r>
        <w:rPr>
          <w:rFonts w:ascii="微软雅黑" w:hAnsi="微软雅黑" w:eastAsia="微软雅黑"/>
          <w:sz w:val="18"/>
          <w:szCs w:val="18"/>
        </w:rPr>
        <w:t>or</w:t>
      </w:r>
      <w:r>
        <w:rPr>
          <w:rFonts w:hint="eastAsia" w:ascii="微软雅黑" w:hAnsi="微软雅黑" w:eastAsia="微软雅黑"/>
          <w:sz w:val="18"/>
          <w:szCs w:val="18"/>
        </w:rPr>
        <w:t xml:space="preserve"> </w:t>
      </w:r>
      <w:r>
        <w:rPr>
          <w:rFonts w:ascii="微软雅黑" w:hAnsi="微软雅黑" w:eastAsia="微软雅黑"/>
          <w:sz w:val="18"/>
          <w:szCs w:val="18"/>
        </w:rPr>
        <w:t>median</w:t>
      </w:r>
      <w:r>
        <w:rPr>
          <w:rFonts w:hint="eastAsia" w:ascii="微软雅黑" w:hAnsi="微软雅黑" w:eastAsia="微软雅黑"/>
          <w:sz w:val="18"/>
          <w:szCs w:val="18"/>
        </w:rPr>
        <w:t xml:space="preserve"> </w:t>
      </w:r>
      <w:r>
        <w:rPr>
          <w:rFonts w:ascii="微软雅黑" w:hAnsi="微软雅黑" w:eastAsia="微软雅黑"/>
          <w:sz w:val="18"/>
          <w:szCs w:val="18"/>
        </w:rPr>
        <w:t>[IQR]</w:t>
      </w:r>
      <w:r>
        <w:rPr>
          <w:rFonts w:hint="eastAsia" w:ascii="微软雅黑" w:hAnsi="微软雅黑" w:eastAsia="微软雅黑"/>
          <w:sz w:val="18"/>
          <w:szCs w:val="18"/>
        </w:rPr>
        <w:t xml:space="preserve"> </w:t>
      </w:r>
      <w:r>
        <w:rPr>
          <w:rFonts w:ascii="微软雅黑" w:hAnsi="微软雅黑" w:eastAsia="微软雅黑"/>
          <w:sz w:val="18"/>
          <w:szCs w:val="18"/>
        </w:rPr>
        <w:t>for continuous variables.</w:t>
      </w:r>
      <w:r>
        <w:rPr>
          <w:rFonts w:hint="eastAsia" w:ascii="微软雅黑" w:hAnsi="微软雅黑" w:eastAsia="微软雅黑"/>
          <w:sz w:val="18"/>
          <w:szCs w:val="18"/>
        </w:rPr>
        <w:t xml:space="preserve"> </w:t>
      </w:r>
      <w:bookmarkStart w:id="4" w:name="_Hlk159662920"/>
      <w:r>
        <w:rPr>
          <w:rFonts w:hint="eastAsia" w:ascii="微软雅黑" w:hAnsi="微软雅黑" w:eastAsia="微软雅黑"/>
          <w:sz w:val="18"/>
          <w:szCs w:val="18"/>
        </w:rPr>
        <w:t xml:space="preserve">BMI: </w:t>
      </w:r>
      <w:r>
        <w:rPr>
          <w:rFonts w:ascii="微软雅黑" w:hAnsi="微软雅黑" w:eastAsia="微软雅黑"/>
          <w:sz w:val="18"/>
          <w:szCs w:val="18"/>
        </w:rPr>
        <w:t>body mass index</w:t>
      </w:r>
      <w:r>
        <w:rPr>
          <w:rFonts w:hint="eastAsia" w:ascii="微软雅黑" w:hAnsi="微软雅黑" w:eastAsia="微软雅黑"/>
          <w:sz w:val="18"/>
          <w:szCs w:val="18"/>
        </w:rPr>
        <w:t>;</w:t>
      </w:r>
      <w:bookmarkEnd w:id="4"/>
      <w:r>
        <w:rPr>
          <w:rFonts w:ascii="微软雅黑" w:hAnsi="微软雅黑" w:eastAsia="微软雅黑"/>
          <w:sz w:val="18"/>
          <w:szCs w:val="18"/>
        </w:rPr>
        <w:t xml:space="preserve"> </w:t>
      </w:r>
      <w:r>
        <w:rPr>
          <w:rFonts w:hint="eastAsia" w:ascii="微软雅黑" w:hAnsi="微软雅黑" w:eastAsia="微软雅黑"/>
          <w:sz w:val="18"/>
          <w:szCs w:val="18"/>
        </w:rPr>
        <w:t>TC: t</w:t>
      </w:r>
      <w:r>
        <w:rPr>
          <w:rFonts w:ascii="微软雅黑" w:hAnsi="微软雅黑" w:eastAsia="微软雅黑"/>
          <w:sz w:val="18"/>
          <w:szCs w:val="18"/>
        </w:rPr>
        <w:t>otal cholesterol</w:t>
      </w:r>
      <w:r>
        <w:rPr>
          <w:rFonts w:hint="eastAsia" w:ascii="微软雅黑" w:hAnsi="微软雅黑" w:eastAsia="微软雅黑"/>
          <w:sz w:val="18"/>
          <w:szCs w:val="18"/>
        </w:rPr>
        <w:t xml:space="preserve">; </w:t>
      </w:r>
      <w:r>
        <w:rPr>
          <w:rFonts w:ascii="微软雅黑" w:hAnsi="微软雅黑" w:eastAsia="微软雅黑"/>
          <w:sz w:val="18"/>
          <w:szCs w:val="18"/>
        </w:rPr>
        <w:t>TG</w:t>
      </w:r>
      <w:r>
        <w:rPr>
          <w:rFonts w:hint="eastAsia" w:ascii="微软雅黑" w:hAnsi="微软雅黑" w:eastAsia="微软雅黑"/>
          <w:sz w:val="18"/>
          <w:szCs w:val="18"/>
        </w:rPr>
        <w:t>: t</w:t>
      </w:r>
      <w:r>
        <w:rPr>
          <w:rFonts w:ascii="微软雅黑" w:hAnsi="微软雅黑" w:eastAsia="微软雅黑"/>
          <w:sz w:val="18"/>
          <w:szCs w:val="18"/>
        </w:rPr>
        <w:t>riglyceride</w:t>
      </w:r>
      <w:r>
        <w:rPr>
          <w:rFonts w:hint="eastAsia" w:ascii="微软雅黑" w:hAnsi="微软雅黑" w:eastAsia="微软雅黑"/>
          <w:sz w:val="18"/>
          <w:szCs w:val="18"/>
        </w:rPr>
        <w:t xml:space="preserve">; </w:t>
      </w:r>
      <w:r>
        <w:rPr>
          <w:rFonts w:ascii="微软雅黑" w:hAnsi="微软雅黑" w:eastAsia="微软雅黑"/>
          <w:sz w:val="18"/>
          <w:szCs w:val="18"/>
        </w:rPr>
        <w:t>HDL</w:t>
      </w:r>
      <w:r>
        <w:rPr>
          <w:rFonts w:hint="eastAsia" w:ascii="微软雅黑" w:hAnsi="微软雅黑" w:eastAsia="微软雅黑"/>
          <w:sz w:val="18"/>
          <w:szCs w:val="18"/>
        </w:rPr>
        <w:t xml:space="preserve">-C: </w:t>
      </w:r>
      <w:r>
        <w:rPr>
          <w:rFonts w:ascii="微软雅黑" w:hAnsi="微软雅黑" w:eastAsia="微软雅黑"/>
          <w:sz w:val="18"/>
          <w:szCs w:val="18"/>
        </w:rPr>
        <w:t>high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-</w:t>
      </w:r>
      <w:r>
        <w:rPr>
          <w:rFonts w:ascii="微软雅黑" w:hAnsi="微软雅黑" w:eastAsia="微软雅黑"/>
          <w:sz w:val="18"/>
          <w:szCs w:val="18"/>
        </w:rPr>
        <w:t>density lipoprotein cholesterol</w:t>
      </w:r>
      <w:r>
        <w:rPr>
          <w:rFonts w:hint="eastAsia" w:ascii="微软雅黑" w:hAnsi="微软雅黑" w:eastAsia="微软雅黑"/>
          <w:sz w:val="18"/>
          <w:szCs w:val="18"/>
        </w:rPr>
        <w:t xml:space="preserve">; </w:t>
      </w:r>
      <w:r>
        <w:rPr>
          <w:rFonts w:ascii="微软雅黑" w:hAnsi="微软雅黑" w:eastAsia="微软雅黑"/>
          <w:sz w:val="18"/>
          <w:szCs w:val="18"/>
        </w:rPr>
        <w:t>LDL</w:t>
      </w:r>
      <w:r>
        <w:rPr>
          <w:rFonts w:hint="eastAsia" w:ascii="微软雅黑" w:hAnsi="微软雅黑" w:eastAsia="微软雅黑"/>
          <w:sz w:val="18"/>
          <w:szCs w:val="18"/>
        </w:rPr>
        <w:t>-C: low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-</w:t>
      </w:r>
      <w:r>
        <w:rPr>
          <w:rFonts w:ascii="微软雅黑" w:hAnsi="微软雅黑" w:eastAsia="微软雅黑"/>
          <w:sz w:val="18"/>
          <w:szCs w:val="18"/>
        </w:rPr>
        <w:t>density lipoprotein cholesterol</w:t>
      </w:r>
      <w:r>
        <w:rPr>
          <w:rFonts w:hint="eastAsia" w:ascii="微软雅黑" w:hAnsi="微软雅黑" w:eastAsia="微软雅黑"/>
          <w:sz w:val="18"/>
          <w:szCs w:val="18"/>
        </w:rPr>
        <w:t>;</w:t>
      </w:r>
      <w:r>
        <w:rPr>
          <w:rFonts w:ascii="微软雅黑" w:hAnsi="微软雅黑" w:eastAsia="微软雅黑"/>
          <w:sz w:val="18"/>
          <w:szCs w:val="18"/>
        </w:rPr>
        <w:t xml:space="preserve"> </w:t>
      </w:r>
      <w:bookmarkStart w:id="5" w:name="_Hlk159662927"/>
      <w:r>
        <w:rPr>
          <w:rFonts w:ascii="微软雅黑" w:hAnsi="微软雅黑" w:eastAsia="微软雅黑"/>
          <w:sz w:val="18"/>
          <w:szCs w:val="18"/>
        </w:rPr>
        <w:t>eGFR:</w:t>
      </w:r>
      <w:r>
        <w:t xml:space="preserve"> </w:t>
      </w:r>
      <w:r>
        <w:rPr>
          <w:rFonts w:ascii="微软雅黑" w:hAnsi="微软雅黑" w:eastAsia="微软雅黑"/>
          <w:sz w:val="18"/>
          <w:szCs w:val="18"/>
        </w:rPr>
        <w:t>estimated glomerular filtration rate</w:t>
      </w:r>
      <w:bookmarkEnd w:id="5"/>
      <w:r>
        <w:rPr>
          <w:rFonts w:hint="eastAsia" w:ascii="微软雅黑" w:hAnsi="微软雅黑" w:eastAsia="微软雅黑"/>
          <w:sz w:val="18"/>
          <w:szCs w:val="18"/>
        </w:rPr>
        <w:t>;</w:t>
      </w:r>
      <w:r>
        <w:rPr>
          <w:rFonts w:ascii="微软雅黑" w:hAnsi="微软雅黑" w:eastAsia="微软雅黑"/>
          <w:sz w:val="18"/>
          <w:szCs w:val="18"/>
        </w:rPr>
        <w:t xml:space="preserve"> UA:</w:t>
      </w:r>
      <w:r>
        <w:rPr>
          <w:rFonts w:hint="eastAsia" w:ascii="微软雅黑" w:hAnsi="微软雅黑" w:eastAsia="微软雅黑"/>
          <w:sz w:val="18"/>
          <w:szCs w:val="18"/>
        </w:rPr>
        <w:t xml:space="preserve"> </w:t>
      </w:r>
      <w:r>
        <w:rPr>
          <w:rFonts w:ascii="微软雅黑" w:hAnsi="微软雅黑" w:eastAsia="微软雅黑"/>
          <w:sz w:val="18"/>
          <w:szCs w:val="18"/>
        </w:rPr>
        <w:t>uric acid;</w:t>
      </w:r>
      <w:r>
        <w:rPr>
          <w:rFonts w:hint="eastAsia" w:ascii="微软雅黑" w:hAnsi="微软雅黑" w:eastAsia="微软雅黑"/>
          <w:sz w:val="18"/>
          <w:szCs w:val="18"/>
        </w:rPr>
        <w:t xml:space="preserve"> </w:t>
      </w:r>
      <w:r>
        <w:rPr>
          <w:rFonts w:ascii="微软雅黑" w:hAnsi="微软雅黑" w:eastAsia="微软雅黑"/>
          <w:sz w:val="18"/>
          <w:szCs w:val="18"/>
        </w:rPr>
        <w:t>HbA1c</w:t>
      </w:r>
      <w:r>
        <w:rPr>
          <w:rFonts w:hint="eastAsia" w:ascii="微软雅黑" w:hAnsi="微软雅黑" w:eastAsia="微软雅黑"/>
          <w:sz w:val="18"/>
          <w:szCs w:val="18"/>
        </w:rPr>
        <w:t>:</w:t>
      </w:r>
      <w:r>
        <w:rPr>
          <w:rFonts w:ascii="微软雅黑" w:hAnsi="微软雅黑" w:eastAsia="微软雅黑"/>
          <w:sz w:val="18"/>
          <w:szCs w:val="18"/>
        </w:rPr>
        <w:t xml:space="preserve"> hemoglobin A1c</w:t>
      </w:r>
      <w:r>
        <w:rPr>
          <w:rFonts w:hint="eastAsia"/>
        </w:rPr>
        <w:t>;</w:t>
      </w:r>
      <w:r>
        <w:t xml:space="preserve"> 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>ACEI/ARB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>: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 xml:space="preserve"> 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>a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>ngiotensin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>-c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 xml:space="preserve">onverting 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>e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 xml:space="preserve">nzyme 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>i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>nhibitors/angiotensin receptor blocker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 xml:space="preserve">; 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>LM: left main artery;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 xml:space="preserve"> 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>LAD: left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 xml:space="preserve"> 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>anterior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 xml:space="preserve"> 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>descending artery;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 xml:space="preserve"> 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>LCX: left circumflex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 xml:space="preserve"> </w:t>
      </w:r>
      <w:r>
        <w:rPr>
          <w:rFonts w:ascii="微软雅黑" w:hAnsi="微软雅黑" w:eastAsia="微软雅黑"/>
          <w:bCs/>
          <w:color w:val="000000"/>
          <w:sz w:val="18"/>
          <w:szCs w:val="18"/>
        </w:rPr>
        <w:t>artery; RCA: right coronary artery;</w:t>
      </w:r>
      <w:r>
        <w:rPr>
          <w:rFonts w:hint="eastAsia" w:ascii="微软雅黑" w:hAnsi="微软雅黑" w:eastAsia="微软雅黑"/>
          <w:bCs/>
          <w:color w:val="000000"/>
          <w:sz w:val="18"/>
          <w:szCs w:val="18"/>
        </w:rPr>
        <w:t xml:space="preserve"> </w:t>
      </w:r>
      <w:r>
        <w:rPr>
          <w:rFonts w:hint="eastAsia" w:ascii="微软雅黑" w:hAnsi="微软雅黑" w:eastAsia="微软雅黑"/>
          <w:sz w:val="18"/>
          <w:szCs w:val="18"/>
        </w:rPr>
        <w:t>ISR: in-stent restenosis</w:t>
      </w:r>
      <w:r>
        <w:rPr>
          <w:rFonts w:ascii="微软雅黑" w:hAnsi="微软雅黑" w:eastAsia="微软雅黑"/>
          <w:sz w:val="18"/>
          <w:szCs w:val="18"/>
        </w:rPr>
        <w:t>; AHI: apnea-hypopnea index.</w:t>
      </w:r>
    </w:p>
    <w:p>
      <w:pPr>
        <w:rPr>
          <w:rFonts w:eastAsia="微软雅黑"/>
        </w:rPr>
      </w:pPr>
    </w:p>
    <w:tbl>
      <w:tblPr>
        <w:tblStyle w:val="9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5"/>
        <w:gridCol w:w="1812"/>
        <w:gridCol w:w="1842"/>
        <w:gridCol w:w="660"/>
        <w:gridCol w:w="2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blHeader/>
          <w:jc w:val="center"/>
        </w:trPr>
        <w:tc>
          <w:tcPr>
            <w:tcW w:w="7979" w:type="dxa"/>
            <w:gridSpan w:val="4"/>
            <w:tcBorders>
              <w:top w:val="nil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i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 xml:space="preserve">Table </w:t>
            </w:r>
            <w:r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  <w:t>2</w:t>
            </w: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Association of OSA and ISR in univariate logistic regression analysis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1812" w:type="dxa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OR</w:t>
            </w:r>
          </w:p>
        </w:tc>
        <w:tc>
          <w:tcPr>
            <w:tcW w:w="1842" w:type="dxa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95%CI</w:t>
            </w:r>
          </w:p>
        </w:tc>
        <w:tc>
          <w:tcPr>
            <w:tcW w:w="882" w:type="dxa"/>
            <w:gridSpan w:val="2"/>
            <w:tcBorders>
              <w:top w:val="single" w:color="000000" w:themeColor="text1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i/>
                <w:kern w:val="0"/>
                <w:sz w:val="18"/>
                <w:szCs w:val="18"/>
              </w:rPr>
              <w:t>P</w:t>
            </w:r>
            <w:r>
              <w:rPr>
                <w:rFonts w:hint="eastAsia" w:ascii="微软雅黑" w:hAnsi="微软雅黑" w:eastAsia="微软雅黑"/>
                <w:kern w:val="0"/>
                <w:sz w:val="18"/>
                <w:szCs w:val="18"/>
              </w:rPr>
              <w:t xml:space="preserve"> value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LDL-C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  <w:r>
              <w:t>1.293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6"/>
              <w:jc w:val="center"/>
            </w:pPr>
            <w:r>
              <w:t>0.959-1.743</w:t>
            </w: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0.092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Everolimus stent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.455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0.179-1.153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.097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rPr>
                <w:rFonts w:hint="eastAsia"/>
              </w:rPr>
              <w:t>Multiple stents (n≥2)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86 (52.4)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30 (71.4)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＜0.001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bookmarkStart w:id="6" w:name="_Hlk159668616"/>
            <w:r>
              <w:t>Stent overlapping</w:t>
            </w:r>
            <w:bookmarkEnd w:id="6"/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4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.935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1.966-12.392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Maximal expansion pressure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.132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0.992-1.290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Total stent length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1.002-1.020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.021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rPr>
                <w:rFonts w:hint="eastAsia"/>
              </w:rPr>
              <w:t>O</w:t>
            </w:r>
            <w:r>
              <w:t>SA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3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.712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1.774-7.770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AHI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1.017-1.071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</w:pPr>
            <w:r>
              <w:t>Minim</w:t>
            </w:r>
            <w:r>
              <w:rPr>
                <w:rFonts w:hint="eastAsia"/>
              </w:rPr>
              <w:t>al</w:t>
            </w:r>
            <w:r>
              <w:t xml:space="preserve"> SaO</w:t>
            </w:r>
            <w:r>
              <w:rPr>
                <w:vertAlign w:val="subscript"/>
              </w:rPr>
              <w:t>2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.958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0.914-1.003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.068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6"/>
            </w:pPr>
            <w:bookmarkStart w:id="7" w:name="OLE_LINK65"/>
            <w:r>
              <w:t>Total percentage of time of SaO</w:t>
            </w:r>
            <w:r>
              <w:rPr>
                <w:vertAlign w:val="subscript"/>
              </w:rPr>
              <w:t>2</w:t>
            </w:r>
            <w:r>
              <w:t xml:space="preserve"> &lt;90%</w:t>
            </w:r>
            <w:bookmarkEnd w:id="7"/>
          </w:p>
        </w:tc>
        <w:tc>
          <w:tcPr>
            <w:tcW w:w="181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1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.084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/>
                <w:sz w:val="18"/>
                <w:szCs w:val="18"/>
              </w:rPr>
              <w:t>1.021-1.150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微软雅黑" w:hAnsi="微软雅黑" w:eastAsia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0</w:t>
            </w:r>
            <w:r>
              <w:rPr>
                <w:rFonts w:ascii="微软雅黑" w:hAnsi="微软雅黑" w:eastAsia="微软雅黑"/>
                <w:sz w:val="18"/>
                <w:szCs w:val="18"/>
              </w:rPr>
              <w:t>.008</w:t>
            </w:r>
          </w:p>
        </w:tc>
      </w:tr>
    </w:tbl>
    <w:p>
      <w:pPr>
        <w:rPr>
          <w:rFonts w:ascii="微软雅黑" w:hAnsi="微软雅黑" w:eastAsia="微软雅黑"/>
          <w:sz w:val="18"/>
          <w:szCs w:val="18"/>
        </w:rPr>
      </w:pPr>
      <w:bookmarkStart w:id="8" w:name="_Hlk159671553"/>
      <w:r>
        <w:rPr>
          <w:rFonts w:ascii="微软雅黑" w:hAnsi="微软雅黑" w:eastAsia="微软雅黑"/>
          <w:sz w:val="18"/>
          <w:szCs w:val="18"/>
        </w:rPr>
        <w:t>LDL</w:t>
      </w:r>
      <w:r>
        <w:rPr>
          <w:rFonts w:hint="eastAsia" w:ascii="微软雅黑" w:hAnsi="微软雅黑" w:eastAsia="微软雅黑"/>
          <w:sz w:val="18"/>
          <w:szCs w:val="18"/>
        </w:rPr>
        <w:t>-C: low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-</w:t>
      </w:r>
      <w:bookmarkStart w:id="9" w:name="_GoBack"/>
      <w:bookmarkEnd w:id="9"/>
      <w:r>
        <w:rPr>
          <w:rFonts w:ascii="微软雅黑" w:hAnsi="微软雅黑" w:eastAsia="微软雅黑"/>
          <w:sz w:val="18"/>
          <w:szCs w:val="18"/>
        </w:rPr>
        <w:t>density lipoprotein cholesterol</w:t>
      </w:r>
      <w:r>
        <w:rPr>
          <w:rFonts w:hint="eastAsia" w:ascii="微软雅黑" w:hAnsi="微软雅黑" w:eastAsia="微软雅黑"/>
          <w:sz w:val="18"/>
          <w:szCs w:val="18"/>
        </w:rPr>
        <w:t>;</w:t>
      </w:r>
      <w:r>
        <w:rPr>
          <w:rFonts w:ascii="微软雅黑" w:hAnsi="微软雅黑" w:eastAsia="微软雅黑"/>
          <w:sz w:val="18"/>
          <w:szCs w:val="18"/>
        </w:rPr>
        <w:t xml:space="preserve"> OSA: obstructive sleep apnea; AHI: apnea-hypopnea index.</w:t>
      </w:r>
    </w:p>
    <w:bookmarkEnd w:id="8"/>
    <w:p>
      <w:pPr>
        <w:widowControl/>
        <w:jc w:val="left"/>
        <w:rPr>
          <w:rFonts w:eastAsia="微软雅黑"/>
        </w:rPr>
      </w:pPr>
    </w:p>
    <w:p>
      <w:pPr>
        <w:rPr>
          <w:rFonts w:eastAsia="微软雅黑"/>
        </w:rPr>
      </w:pPr>
    </w:p>
    <w:p>
      <w:pPr>
        <w:widowControl/>
        <w:jc w:val="left"/>
        <w:rPr>
          <w:rFonts w:eastAsia="微软雅黑"/>
        </w:rPr>
      </w:pPr>
      <w:r>
        <w:rPr>
          <w:rFonts w:eastAsia="微软雅黑"/>
        </w:rPr>
        <w:br w:type="page"/>
      </w:r>
    </w:p>
    <w:p>
      <w:pPr>
        <w:rPr>
          <w:rFonts w:eastAsia="微软雅黑"/>
        </w:rPr>
      </w:pPr>
      <w:r>
        <w:rPr>
          <w:rFonts w:eastAsia="微软雅黑"/>
        </w:rPr>
        <w:drawing>
          <wp:inline distT="0" distB="0" distL="0" distR="0">
            <wp:extent cx="5274310" cy="4755515"/>
            <wp:effectExtent l="0" t="0" r="0" b="0"/>
            <wp:docPr id="8771573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157324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ascii="微软雅黑" w:hAnsi="微软雅黑" w:eastAsia="微软雅黑"/>
          <w:sz w:val="18"/>
          <w:szCs w:val="18"/>
        </w:rPr>
        <w:t>Figure 1 Receiver operating characteristic curve analysis of the AHI to predict DES-ISR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autoHyphenation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ZTAzNTkwN2YxNjAzZDI4Zjc3MzQ1ZjQxNzQ4YjA4ZDQifQ=="/>
  </w:docVars>
  <w:rsids>
    <w:rsidRoot w:val="002125AC"/>
    <w:rsid w:val="00142E42"/>
    <w:rsid w:val="00197422"/>
    <w:rsid w:val="002125AC"/>
    <w:rsid w:val="002164FE"/>
    <w:rsid w:val="00225362"/>
    <w:rsid w:val="00231ABF"/>
    <w:rsid w:val="00260CB6"/>
    <w:rsid w:val="00293F21"/>
    <w:rsid w:val="002B7077"/>
    <w:rsid w:val="002F281B"/>
    <w:rsid w:val="00311AF1"/>
    <w:rsid w:val="00313D85"/>
    <w:rsid w:val="00367DD4"/>
    <w:rsid w:val="0045591A"/>
    <w:rsid w:val="00493B01"/>
    <w:rsid w:val="00541AD4"/>
    <w:rsid w:val="005A6197"/>
    <w:rsid w:val="00652ABD"/>
    <w:rsid w:val="00781C99"/>
    <w:rsid w:val="00805D08"/>
    <w:rsid w:val="00813490"/>
    <w:rsid w:val="0095505C"/>
    <w:rsid w:val="009A21EE"/>
    <w:rsid w:val="00A81014"/>
    <w:rsid w:val="00AA531A"/>
    <w:rsid w:val="00AC6002"/>
    <w:rsid w:val="00AC7945"/>
    <w:rsid w:val="00B260DC"/>
    <w:rsid w:val="00BA00AD"/>
    <w:rsid w:val="00BA4BD7"/>
    <w:rsid w:val="00BA7314"/>
    <w:rsid w:val="00BF563B"/>
    <w:rsid w:val="00C530DF"/>
    <w:rsid w:val="00CF61F2"/>
    <w:rsid w:val="00CF6CBE"/>
    <w:rsid w:val="00D261FF"/>
    <w:rsid w:val="00D83E02"/>
    <w:rsid w:val="00E93F1D"/>
    <w:rsid w:val="00EA1A67"/>
    <w:rsid w:val="00F05F05"/>
    <w:rsid w:val="00F25B14"/>
    <w:rsid w:val="00F60293"/>
    <w:rsid w:val="05602FD0"/>
    <w:rsid w:val="06F23564"/>
    <w:rsid w:val="092E4D8E"/>
    <w:rsid w:val="0F7E34C6"/>
    <w:rsid w:val="20F118D6"/>
    <w:rsid w:val="2D5955F0"/>
    <w:rsid w:val="34037CBE"/>
    <w:rsid w:val="3A130CC1"/>
    <w:rsid w:val="3D2B5ED2"/>
    <w:rsid w:val="3D2C725B"/>
    <w:rsid w:val="3DBF21D3"/>
    <w:rsid w:val="44670CDB"/>
    <w:rsid w:val="46535859"/>
    <w:rsid w:val="4A2D63C1"/>
    <w:rsid w:val="4AD0441D"/>
    <w:rsid w:val="510E3794"/>
    <w:rsid w:val="59750523"/>
    <w:rsid w:val="5DB56229"/>
    <w:rsid w:val="60FC6720"/>
    <w:rsid w:val="638B13EF"/>
    <w:rsid w:val="6BD52A82"/>
    <w:rsid w:val="79F1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kern w:val="0"/>
      <w:sz w:val="18"/>
      <w:szCs w:val="18"/>
    </w:rPr>
  </w:style>
  <w:style w:type="paragraph" w:styleId="7">
    <w:name w:val="annotation subject"/>
    <w:basedOn w:val="2"/>
    <w:next w:val="2"/>
    <w:link w:val="16"/>
    <w:autoRedefine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4"/>
    <w:autoRedefine/>
    <w:qFormat/>
    <w:uiPriority w:val="99"/>
    <w:rPr>
      <w:sz w:val="18"/>
      <w:szCs w:val="18"/>
    </w:rPr>
  </w:style>
  <w:style w:type="character" w:customStyle="1" w:styleId="14">
    <w:name w:val="批注框文本 字符"/>
    <w:basedOn w:val="10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批注文字 字符"/>
    <w:basedOn w:val="10"/>
    <w:link w:val="2"/>
    <w:autoRedefine/>
    <w:semiHidden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16">
    <w:name w:val="批注主题 字符"/>
    <w:basedOn w:val="15"/>
    <w:link w:val="7"/>
    <w:autoRedefine/>
    <w:semiHidden/>
    <w:qFormat/>
    <w:uiPriority w:val="99"/>
    <w:rPr>
      <w:rFonts w:ascii="Calibri" w:hAnsi="Calibr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58D7EA-6F08-4B69-8A1F-BB815108F3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3</Pages>
  <Words>501</Words>
  <Characters>2858</Characters>
  <Lines>23</Lines>
  <Paragraphs>6</Paragraphs>
  <TotalTime>505</TotalTime>
  <ScaleCrop>false</ScaleCrop>
  <LinksUpToDate>false</LinksUpToDate>
  <CharactersWithSpaces>3353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2023-06-11T12:49:00Z</dcterms:created>
  <dc:creator>shendu</dc:creator>
  <cp:lastModifiedBy>〰</cp:lastModifiedBy>
  <dcterms:modified xsi:type="dcterms:W3CDTF">2024-03-30T14:49:11Z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CC26D48A362F46B7ADA0B74BBC8A780F_12</vt:lpwstr>
  </property>
</Properties>
</file>