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D947C3" w14:textId="77777777" w:rsidR="00F42888" w:rsidRDefault="00080639">
      <w:pPr>
        <w:pStyle w:val="a5"/>
        <w:ind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114300" distR="114300" wp14:anchorId="4385CC89" wp14:editId="7F046CF9">
            <wp:extent cx="5521325" cy="2545080"/>
            <wp:effectExtent l="0" t="0" r="3175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21325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2B777" w14:textId="77777777" w:rsidR="00F42888" w:rsidRDefault="00F42888">
      <w:pPr>
        <w:pStyle w:val="a5"/>
        <w:ind w:firstLineChars="0" w:firstLine="0"/>
        <w:rPr>
          <w:sz w:val="28"/>
          <w:szCs w:val="28"/>
        </w:rPr>
      </w:pPr>
    </w:p>
    <w:p w14:paraId="03652FD8" w14:textId="77777777" w:rsidR="00F42888" w:rsidRDefault="00080639">
      <w:pPr>
        <w:pStyle w:val="a5"/>
        <w:ind w:firstLineChars="0" w:firstLine="0"/>
        <w:rPr>
          <w:sz w:val="28"/>
          <w:szCs w:val="28"/>
        </w:rPr>
      </w:pPr>
      <w:r>
        <w:rPr>
          <w:rFonts w:eastAsia="宋体" w:hint="eastAsia"/>
          <w:color w:val="FF0000"/>
        </w:rPr>
        <w:t>Supplementary Fig. 1a</w:t>
      </w:r>
      <w:r>
        <w:rPr>
          <w:rFonts w:eastAsia="宋体"/>
          <w:color w:val="FF0000"/>
        </w:rPr>
        <w:t xml:space="preserve"> (All cause</w:t>
      </w:r>
      <w:r>
        <w:rPr>
          <w:rFonts w:eastAsia="宋体"/>
          <w:color w:val="FF0000"/>
          <w:kern w:val="0"/>
          <w:lang w:bidi="ar"/>
        </w:rPr>
        <w:t xml:space="preserve"> death)</w:t>
      </w:r>
      <w:r>
        <w:rPr>
          <w:rFonts w:eastAsia="宋体"/>
          <w:color w:val="FF0000"/>
        </w:rPr>
        <w:t xml:space="preserve"> and Fig</w:t>
      </w:r>
      <w:r>
        <w:rPr>
          <w:rFonts w:eastAsia="宋体" w:hint="eastAsia"/>
          <w:color w:val="FF0000"/>
        </w:rPr>
        <w:t xml:space="preserve">1b </w:t>
      </w:r>
      <w:r>
        <w:rPr>
          <w:rFonts w:eastAsia="宋体"/>
          <w:color w:val="FF0000"/>
        </w:rPr>
        <w:t>(</w:t>
      </w:r>
      <w:r>
        <w:rPr>
          <w:rFonts w:eastAsia="宋体"/>
          <w:color w:val="FF0000"/>
          <w:kern w:val="0"/>
          <w:lang w:bidi="ar"/>
        </w:rPr>
        <w:t>Cardiovascular death)</w:t>
      </w:r>
      <w:r>
        <w:rPr>
          <w:rFonts w:eastAsia="宋体"/>
        </w:rPr>
        <w:t xml:space="preserve">: Kaplan‒Meier survival curves according to the median of the </w:t>
      </w:r>
      <w:r>
        <w:rPr>
          <w:rFonts w:eastAsia="宋体" w:hint="eastAsia"/>
        </w:rPr>
        <w:t>glucose</w:t>
      </w:r>
      <w:r>
        <w:rPr>
          <w:rFonts w:eastAsia="宋体"/>
        </w:rPr>
        <w:t xml:space="preserve"> for STEMI patients. Low </w:t>
      </w:r>
      <w:r>
        <w:rPr>
          <w:rFonts w:eastAsia="宋体" w:hint="eastAsia"/>
        </w:rPr>
        <w:t>glucose</w:t>
      </w:r>
      <w:r>
        <w:rPr>
          <w:rFonts w:eastAsiaTheme="minorEastAsia"/>
        </w:rPr>
        <w:t>&lt;</w:t>
      </w:r>
      <w:r>
        <w:rPr>
          <w:rFonts w:eastAsiaTheme="minorEastAsia" w:hint="eastAsia"/>
        </w:rPr>
        <w:t>6.385</w:t>
      </w:r>
      <w:r>
        <w:rPr>
          <w:rFonts w:eastAsiaTheme="minorEastAsia"/>
        </w:rPr>
        <w:t xml:space="preserve">, High </w:t>
      </w:r>
      <w:r>
        <w:rPr>
          <w:rFonts w:eastAsia="宋体" w:hint="eastAsia"/>
        </w:rPr>
        <w:t>glucose</w:t>
      </w:r>
      <w:r>
        <w:rPr>
          <w:rFonts w:eastAsiaTheme="minorEastAsia"/>
        </w:rPr>
        <w:t>≥</w:t>
      </w:r>
      <w:r>
        <w:rPr>
          <w:rFonts w:eastAsiaTheme="minorEastAsia" w:hint="eastAsia"/>
        </w:rPr>
        <w:t>6.385</w:t>
      </w:r>
      <w:r>
        <w:rPr>
          <w:rFonts w:eastAsiaTheme="minorEastAsia"/>
        </w:rPr>
        <w:t>.</w:t>
      </w:r>
    </w:p>
    <w:p w14:paraId="5BE91C40" w14:textId="77777777" w:rsidR="00F42888" w:rsidRDefault="00080639">
      <w:pPr>
        <w:pStyle w:val="MDPI31text"/>
        <w:spacing w:line="288" w:lineRule="auto"/>
        <w:ind w:left="0" w:firstLineChars="200" w:firstLine="420"/>
        <w:rPr>
          <w:rFonts w:ascii="Times New Roman" w:hAnsi="Times New Roman"/>
          <w:sz w:val="21"/>
          <w:szCs w:val="21"/>
        </w:rPr>
      </w:pP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Kaplan‒Meier analysis revealed that the cumulative incidence rates of all-cause death (log-rank, 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sym w:font="Symbol" w:char="F063"/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>²</w:t>
      </w:r>
      <w:r>
        <w:rPr>
          <w:rFonts w:ascii="Times New Roman" w:eastAsiaTheme="minorEastAsia" w:hAnsi="Times New Roman" w:hint="eastAsia"/>
          <w:color w:val="000000" w:themeColor="text1"/>
          <w:kern w:val="2"/>
          <w:sz w:val="21"/>
          <w:szCs w:val="21"/>
          <w:lang w:eastAsia="zh-CN" w:bidi="ar-SA"/>
        </w:rPr>
        <w:t xml:space="preserve"> 24.488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, </w:t>
      </w:r>
      <w:r>
        <w:rPr>
          <w:rFonts w:ascii="Times New Roman" w:eastAsiaTheme="minorEastAsia" w:hAnsi="Times New Roman"/>
          <w:i/>
          <w:iCs/>
          <w:color w:val="000000" w:themeColor="text1"/>
          <w:kern w:val="2"/>
          <w:sz w:val="21"/>
          <w:szCs w:val="21"/>
          <w:lang w:val="en-GB" w:eastAsia="zh-CN" w:bidi="ar-SA"/>
        </w:rPr>
        <w:t>p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 &lt; 0.001) and cardiovascular death (log-rank, 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sym w:font="Symbol" w:char="F063"/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>²</w:t>
      </w:r>
      <w:r>
        <w:rPr>
          <w:rFonts w:ascii="Times New Roman" w:eastAsiaTheme="minorEastAsia" w:hAnsi="Times New Roman" w:hint="eastAsia"/>
          <w:color w:val="000000" w:themeColor="text1"/>
          <w:kern w:val="2"/>
          <w:sz w:val="21"/>
          <w:szCs w:val="21"/>
          <w:lang w:eastAsia="zh-CN" w:bidi="ar-SA"/>
        </w:rPr>
        <w:t xml:space="preserve"> 25.051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, </w:t>
      </w:r>
      <w:r>
        <w:rPr>
          <w:rFonts w:ascii="Times New Roman" w:eastAsiaTheme="minorEastAsia" w:hAnsi="Times New Roman"/>
          <w:i/>
          <w:iCs/>
          <w:color w:val="000000" w:themeColor="text1"/>
          <w:kern w:val="2"/>
          <w:sz w:val="21"/>
          <w:szCs w:val="21"/>
          <w:lang w:val="en-GB" w:eastAsia="zh-CN" w:bidi="ar-SA"/>
        </w:rPr>
        <w:t>p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 &lt; 0.001) were significantly greater in STEMI patients in the high</w:t>
      </w:r>
      <w:r>
        <w:rPr>
          <w:rFonts w:ascii="Times New Roman" w:eastAsiaTheme="minorEastAsia" w:hAnsi="Times New Roman" w:hint="eastAsia"/>
          <w:color w:val="000000" w:themeColor="text1"/>
          <w:kern w:val="2"/>
          <w:sz w:val="21"/>
          <w:szCs w:val="21"/>
          <w:lang w:eastAsia="zh-CN" w:bidi="ar-SA"/>
        </w:rPr>
        <w:t xml:space="preserve"> glucose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 group than in those in the low</w:t>
      </w:r>
      <w:r>
        <w:rPr>
          <w:rFonts w:ascii="Times New Roman" w:eastAsiaTheme="minorEastAsia" w:hAnsi="Times New Roman" w:hint="eastAsia"/>
          <w:color w:val="000000" w:themeColor="text1"/>
          <w:kern w:val="2"/>
          <w:sz w:val="21"/>
          <w:szCs w:val="21"/>
          <w:lang w:eastAsia="zh-CN" w:bidi="ar-SA"/>
        </w:rPr>
        <w:t xml:space="preserve"> glucose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 group.</w:t>
      </w:r>
      <w:r>
        <w:rPr>
          <w:rFonts w:ascii="Times New Roman" w:hAnsi="Times New Roman"/>
          <w:color w:val="000000" w:themeColor="text1"/>
          <w:sz w:val="21"/>
          <w:szCs w:val="21"/>
        </w:rPr>
        <w:t xml:space="preserve"> (</w:t>
      </w:r>
      <w:r>
        <w:rPr>
          <w:rFonts w:eastAsia="宋体" w:hint="eastAsia"/>
          <w:color w:val="000000" w:themeColor="text1"/>
        </w:rPr>
        <w:t>Supplementary Fig. 1</w:t>
      </w:r>
      <w:r>
        <w:rPr>
          <w:rFonts w:eastAsia="宋体" w:hint="eastAsia"/>
          <w:color w:val="000000" w:themeColor="text1"/>
          <w:lang w:eastAsia="zh-CN"/>
        </w:rPr>
        <w:t xml:space="preserve">a </w:t>
      </w:r>
      <w:r>
        <w:rPr>
          <w:rFonts w:eastAsia="宋体"/>
          <w:color w:val="000000" w:themeColor="text1"/>
        </w:rPr>
        <w:t>and Fig</w:t>
      </w:r>
      <w:r>
        <w:rPr>
          <w:rFonts w:eastAsia="宋体" w:hint="eastAsia"/>
          <w:color w:val="000000" w:themeColor="text1"/>
          <w:lang w:eastAsia="zh-CN"/>
        </w:rPr>
        <w:t>1</w:t>
      </w:r>
      <w:r>
        <w:rPr>
          <w:rFonts w:eastAsia="宋体" w:hint="eastAsia"/>
          <w:color w:val="000000" w:themeColor="text1"/>
        </w:rPr>
        <w:t>b</w:t>
      </w:r>
      <w:r>
        <w:rPr>
          <w:rFonts w:ascii="Times New Roman" w:hAnsi="Times New Roman"/>
          <w:color w:val="000000" w:themeColor="text1"/>
          <w:sz w:val="21"/>
          <w:szCs w:val="21"/>
        </w:rPr>
        <w:t>)</w:t>
      </w:r>
    </w:p>
    <w:p w14:paraId="18EDB897" w14:textId="77777777" w:rsidR="00F42888" w:rsidRDefault="00F42888">
      <w:pPr>
        <w:pStyle w:val="a5"/>
        <w:ind w:firstLineChars="0" w:firstLine="0"/>
        <w:rPr>
          <w:sz w:val="28"/>
          <w:szCs w:val="28"/>
        </w:rPr>
      </w:pPr>
    </w:p>
    <w:p w14:paraId="72CF3D90" w14:textId="77777777" w:rsidR="00F42888" w:rsidRDefault="00F42888">
      <w:pPr>
        <w:pStyle w:val="a5"/>
        <w:ind w:firstLineChars="0" w:firstLine="0"/>
        <w:rPr>
          <w:sz w:val="28"/>
          <w:szCs w:val="28"/>
        </w:rPr>
      </w:pPr>
    </w:p>
    <w:p w14:paraId="1379ACCF" w14:textId="77777777" w:rsidR="00F42888" w:rsidRDefault="00F42888">
      <w:pPr>
        <w:pStyle w:val="a5"/>
        <w:ind w:firstLineChars="0" w:firstLine="0"/>
        <w:rPr>
          <w:sz w:val="28"/>
          <w:szCs w:val="28"/>
        </w:rPr>
      </w:pPr>
    </w:p>
    <w:p w14:paraId="3DE73F77" w14:textId="77777777" w:rsidR="00F42888" w:rsidRDefault="00080639">
      <w:pPr>
        <w:pStyle w:val="a5"/>
        <w:ind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114300" distR="114300" wp14:anchorId="67D5780D" wp14:editId="036B84A3">
            <wp:extent cx="5273675" cy="2769235"/>
            <wp:effectExtent l="0" t="0" r="3175" b="254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76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A8FE5" w14:textId="77777777" w:rsidR="00F42888" w:rsidRDefault="00080639">
      <w:pPr>
        <w:pStyle w:val="a5"/>
        <w:ind w:firstLineChars="0" w:firstLine="0"/>
        <w:rPr>
          <w:sz w:val="28"/>
          <w:szCs w:val="28"/>
        </w:rPr>
      </w:pPr>
      <w:r>
        <w:rPr>
          <w:rFonts w:eastAsia="宋体" w:hint="eastAsia"/>
          <w:color w:val="FF0000"/>
        </w:rPr>
        <w:t>Supplementary Fig. 2a</w:t>
      </w:r>
      <w:r>
        <w:rPr>
          <w:rFonts w:eastAsia="宋体"/>
          <w:color w:val="FF0000"/>
        </w:rPr>
        <w:t xml:space="preserve"> (All cause</w:t>
      </w:r>
      <w:r>
        <w:rPr>
          <w:rFonts w:eastAsia="宋体"/>
          <w:color w:val="FF0000"/>
          <w:kern w:val="0"/>
          <w:lang w:bidi="ar"/>
        </w:rPr>
        <w:t xml:space="preserve"> death)</w:t>
      </w:r>
      <w:r>
        <w:rPr>
          <w:rFonts w:eastAsia="宋体"/>
          <w:color w:val="FF0000"/>
        </w:rPr>
        <w:t xml:space="preserve"> and Fig</w:t>
      </w:r>
      <w:r>
        <w:rPr>
          <w:rFonts w:eastAsia="宋体" w:hint="eastAsia"/>
          <w:color w:val="FF0000"/>
        </w:rPr>
        <w:t xml:space="preserve">2b </w:t>
      </w:r>
      <w:r>
        <w:rPr>
          <w:rFonts w:eastAsia="宋体"/>
          <w:color w:val="FF0000"/>
        </w:rPr>
        <w:t>(</w:t>
      </w:r>
      <w:r>
        <w:rPr>
          <w:rFonts w:eastAsia="宋体"/>
          <w:color w:val="FF0000"/>
          <w:kern w:val="0"/>
          <w:lang w:bidi="ar"/>
        </w:rPr>
        <w:t>Cardiovascular death)</w:t>
      </w:r>
      <w:r>
        <w:rPr>
          <w:rFonts w:eastAsia="宋体"/>
        </w:rPr>
        <w:t xml:space="preserve">: Kaplan‒Meier survival curves according to the median of the </w:t>
      </w:r>
      <w:r>
        <w:rPr>
          <w:rFonts w:eastAsia="宋体" w:hint="eastAsia"/>
        </w:rPr>
        <w:t>lymphocyte</w:t>
      </w:r>
      <w:r>
        <w:rPr>
          <w:rFonts w:eastAsia="宋体"/>
        </w:rPr>
        <w:t xml:space="preserve"> for STEMI patients. Low </w:t>
      </w:r>
      <w:proofErr w:type="spellStart"/>
      <w:r>
        <w:rPr>
          <w:rFonts w:eastAsia="宋体" w:hint="eastAsia"/>
        </w:rPr>
        <w:t>lymphocytee</w:t>
      </w:r>
      <w:proofErr w:type="spellEnd"/>
      <w:r>
        <w:rPr>
          <w:rFonts w:eastAsiaTheme="minorEastAsia"/>
        </w:rPr>
        <w:t>&lt;</w:t>
      </w:r>
      <w:r>
        <w:rPr>
          <w:rFonts w:eastAsiaTheme="minorEastAsia" w:hint="eastAsia"/>
        </w:rPr>
        <w:t>1.54</w:t>
      </w:r>
      <w:r>
        <w:rPr>
          <w:rFonts w:eastAsiaTheme="minorEastAsia"/>
        </w:rPr>
        <w:t xml:space="preserve">, High </w:t>
      </w:r>
      <w:r>
        <w:rPr>
          <w:rFonts w:eastAsia="宋体" w:hint="eastAsia"/>
        </w:rPr>
        <w:t>lymphocyte</w:t>
      </w:r>
      <w:r>
        <w:rPr>
          <w:rFonts w:eastAsiaTheme="minorEastAsia"/>
        </w:rPr>
        <w:t>≥</w:t>
      </w:r>
      <w:r>
        <w:rPr>
          <w:rFonts w:eastAsiaTheme="minorEastAsia" w:hint="eastAsia"/>
        </w:rPr>
        <w:t>1.54</w:t>
      </w:r>
      <w:r>
        <w:rPr>
          <w:rFonts w:eastAsiaTheme="minorEastAsia"/>
        </w:rPr>
        <w:t>.</w:t>
      </w:r>
    </w:p>
    <w:p w14:paraId="57EF31F6" w14:textId="77777777" w:rsidR="00F42888" w:rsidRDefault="00080639">
      <w:pPr>
        <w:pStyle w:val="MDPI31text"/>
        <w:spacing w:line="288" w:lineRule="auto"/>
        <w:ind w:left="0" w:firstLineChars="200" w:firstLine="420"/>
        <w:rPr>
          <w:rFonts w:ascii="Times New Roman" w:hAnsi="Times New Roman"/>
          <w:color w:val="000000" w:themeColor="text1"/>
          <w:sz w:val="21"/>
          <w:szCs w:val="21"/>
        </w:rPr>
      </w:pP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Kaplan‒Meier analysis revealed that the cumulative incidence rates of all-cause death (log-rank, 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sym w:font="Symbol" w:char="F063"/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>²</w:t>
      </w:r>
      <w:r>
        <w:rPr>
          <w:rFonts w:ascii="Times New Roman" w:eastAsiaTheme="minorEastAsia" w:hAnsi="Times New Roman" w:hint="eastAsia"/>
          <w:color w:val="000000" w:themeColor="text1"/>
          <w:kern w:val="2"/>
          <w:sz w:val="21"/>
          <w:szCs w:val="21"/>
          <w:lang w:eastAsia="zh-CN" w:bidi="ar-SA"/>
        </w:rPr>
        <w:t xml:space="preserve"> 14.155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, </w:t>
      </w:r>
      <w:r>
        <w:rPr>
          <w:rFonts w:ascii="Times New Roman" w:eastAsiaTheme="minorEastAsia" w:hAnsi="Times New Roman"/>
          <w:i/>
          <w:iCs/>
          <w:color w:val="000000" w:themeColor="text1"/>
          <w:kern w:val="2"/>
          <w:sz w:val="21"/>
          <w:szCs w:val="21"/>
          <w:lang w:val="en-GB" w:eastAsia="zh-CN" w:bidi="ar-SA"/>
        </w:rPr>
        <w:t>p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 &lt; 0.001) and cardiovascular death (log-rank, 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sym w:font="Symbol" w:char="F063"/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>²</w:t>
      </w:r>
      <w:r>
        <w:rPr>
          <w:rFonts w:ascii="Times New Roman" w:eastAsiaTheme="minorEastAsia" w:hAnsi="Times New Roman" w:hint="eastAsia"/>
          <w:color w:val="000000" w:themeColor="text1"/>
          <w:kern w:val="2"/>
          <w:sz w:val="21"/>
          <w:szCs w:val="21"/>
          <w:lang w:eastAsia="zh-CN" w:bidi="ar-SA"/>
        </w:rPr>
        <w:t xml:space="preserve"> 11.055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, </w:t>
      </w:r>
      <w:r>
        <w:rPr>
          <w:rFonts w:ascii="Times New Roman" w:eastAsiaTheme="minorEastAsia" w:hAnsi="Times New Roman"/>
          <w:i/>
          <w:iCs/>
          <w:color w:val="000000" w:themeColor="text1"/>
          <w:kern w:val="2"/>
          <w:sz w:val="21"/>
          <w:szCs w:val="21"/>
          <w:lang w:val="en-GB" w:eastAsia="zh-CN" w:bidi="ar-SA"/>
        </w:rPr>
        <w:t>p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 &lt; 0.001) were significantly greater in STEMI patients in the </w:t>
      </w:r>
      <w:r>
        <w:rPr>
          <w:rFonts w:ascii="Times New Roman" w:eastAsiaTheme="minorEastAsia" w:hAnsi="Times New Roman" w:hint="eastAsia"/>
          <w:color w:val="000000" w:themeColor="text1"/>
          <w:kern w:val="2"/>
          <w:sz w:val="21"/>
          <w:szCs w:val="21"/>
          <w:lang w:eastAsia="zh-CN" w:bidi="ar-SA"/>
        </w:rPr>
        <w:t>low lymphocyte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 group than in those in the </w:t>
      </w:r>
      <w:r>
        <w:rPr>
          <w:rFonts w:ascii="Times New Roman" w:eastAsiaTheme="minorEastAsia" w:hAnsi="Times New Roman" w:hint="eastAsia"/>
          <w:color w:val="000000" w:themeColor="text1"/>
          <w:kern w:val="2"/>
          <w:sz w:val="21"/>
          <w:szCs w:val="21"/>
          <w:lang w:eastAsia="zh-CN" w:bidi="ar-SA"/>
        </w:rPr>
        <w:t>high lymphocyte</w:t>
      </w:r>
      <w:r>
        <w:rPr>
          <w:rFonts w:ascii="Times New Roman" w:eastAsiaTheme="minorEastAsia" w:hAnsi="Times New Roman"/>
          <w:color w:val="000000" w:themeColor="text1"/>
          <w:kern w:val="2"/>
          <w:sz w:val="21"/>
          <w:szCs w:val="21"/>
          <w:lang w:val="en-GB" w:eastAsia="zh-CN" w:bidi="ar-SA"/>
        </w:rPr>
        <w:t xml:space="preserve"> group.</w:t>
      </w:r>
      <w:r>
        <w:rPr>
          <w:rFonts w:ascii="Times New Roman" w:hAnsi="Times New Roman"/>
          <w:color w:val="000000" w:themeColor="text1"/>
          <w:sz w:val="21"/>
          <w:szCs w:val="21"/>
        </w:rPr>
        <w:t xml:space="preserve"> (</w:t>
      </w:r>
      <w:r>
        <w:rPr>
          <w:rFonts w:eastAsia="宋体" w:hint="eastAsia"/>
          <w:color w:val="000000" w:themeColor="text1"/>
        </w:rPr>
        <w:t xml:space="preserve">Supplementary Fig. </w:t>
      </w:r>
      <w:r>
        <w:rPr>
          <w:rFonts w:eastAsia="宋体" w:hint="eastAsia"/>
          <w:color w:val="000000" w:themeColor="text1"/>
          <w:lang w:eastAsia="zh-CN"/>
        </w:rPr>
        <w:t>2</w:t>
      </w:r>
      <w:r>
        <w:rPr>
          <w:rFonts w:eastAsia="宋体" w:hint="eastAsia"/>
          <w:color w:val="000000" w:themeColor="text1"/>
        </w:rPr>
        <w:t>a</w:t>
      </w:r>
      <w:r>
        <w:rPr>
          <w:rFonts w:eastAsia="宋体"/>
          <w:color w:val="000000" w:themeColor="text1"/>
        </w:rPr>
        <w:t xml:space="preserve"> and Fig</w:t>
      </w:r>
      <w:r>
        <w:rPr>
          <w:rFonts w:eastAsia="宋体" w:hint="eastAsia"/>
          <w:color w:val="000000" w:themeColor="text1"/>
          <w:lang w:eastAsia="zh-CN"/>
        </w:rPr>
        <w:t>2</w:t>
      </w:r>
      <w:r>
        <w:rPr>
          <w:rFonts w:eastAsia="宋体" w:hint="eastAsia"/>
          <w:color w:val="000000" w:themeColor="text1"/>
        </w:rPr>
        <w:t>b</w:t>
      </w:r>
      <w:r>
        <w:rPr>
          <w:rFonts w:ascii="Times New Roman" w:hAnsi="Times New Roman"/>
          <w:color w:val="000000" w:themeColor="text1"/>
          <w:sz w:val="21"/>
          <w:szCs w:val="21"/>
        </w:rPr>
        <w:t>)</w:t>
      </w:r>
    </w:p>
    <w:p w14:paraId="645FCC1F" w14:textId="77777777" w:rsidR="00F42888" w:rsidRDefault="00080639">
      <w:pPr>
        <w:ind w:firstLine="560"/>
        <w:rPr>
          <w:sz w:val="28"/>
          <w:szCs w:val="28"/>
        </w:rPr>
      </w:pPr>
      <w:r>
        <w:rPr>
          <w:sz w:val="28"/>
          <w:szCs w:val="28"/>
        </w:rPr>
        <w:lastRenderedPageBreak/>
        <w:br w:type="page"/>
      </w:r>
    </w:p>
    <w:p w14:paraId="0C84328D" w14:textId="77777777" w:rsidR="00F42888" w:rsidRDefault="00F42888">
      <w:pPr>
        <w:pStyle w:val="a5"/>
        <w:ind w:firstLineChars="0" w:firstLine="0"/>
        <w:rPr>
          <w:sz w:val="28"/>
          <w:szCs w:val="28"/>
        </w:rPr>
      </w:pPr>
    </w:p>
    <w:p w14:paraId="0E5C8841" w14:textId="77777777" w:rsidR="00F42888" w:rsidRDefault="00080639">
      <w:pPr>
        <w:pStyle w:val="a5"/>
        <w:ind w:firstLineChars="0" w:firstLine="0"/>
        <w:rPr>
          <w:sz w:val="28"/>
          <w:szCs w:val="28"/>
        </w:rPr>
      </w:pPr>
      <w:r>
        <w:rPr>
          <w:sz w:val="28"/>
          <w:szCs w:val="28"/>
        </w:rPr>
        <w:t>If necessary</w:t>
      </w:r>
      <w:r>
        <w:rPr>
          <w:rFonts w:eastAsia="宋体" w:hint="eastAsia"/>
          <w:sz w:val="28"/>
          <w:szCs w:val="28"/>
        </w:rPr>
        <w:t>, </w:t>
      </w:r>
      <w:r>
        <w:rPr>
          <w:sz w:val="28"/>
          <w:szCs w:val="28"/>
        </w:rPr>
        <w:t>Attachment: Flowchart</w:t>
      </w:r>
    </w:p>
    <w:p w14:paraId="0EE3EFF2" w14:textId="77777777" w:rsidR="00F42888" w:rsidRDefault="00080639">
      <w:pPr>
        <w:ind w:firstLine="420"/>
      </w:pPr>
      <w:bookmarkStart w:id="0" w:name="_GoBack"/>
      <w:r>
        <w:rPr>
          <w:noProof/>
        </w:rPr>
        <w:drawing>
          <wp:inline distT="0" distB="0" distL="114300" distR="114300" wp14:anchorId="4ECC02A2" wp14:editId="038DDB25">
            <wp:extent cx="4867275" cy="4554220"/>
            <wp:effectExtent l="0" t="0" r="0" b="825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rcRect t="532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455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4288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73E0B0" w14:textId="77777777" w:rsidR="00F42888" w:rsidRDefault="00080639">
      <w:pPr>
        <w:ind w:firstLine="420"/>
      </w:pPr>
      <w:r>
        <w:separator/>
      </w:r>
    </w:p>
  </w:endnote>
  <w:endnote w:type="continuationSeparator" w:id="0">
    <w:p w14:paraId="1D7FC084" w14:textId="77777777" w:rsidR="00F42888" w:rsidRDefault="0008063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19D80A" w14:textId="77777777" w:rsidR="00F42888" w:rsidRDefault="00F42888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FCBFF" w14:textId="77777777" w:rsidR="00F42888" w:rsidRDefault="00F42888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7E6D26" w14:textId="77777777" w:rsidR="00F42888" w:rsidRDefault="00F42888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05B3AE" w14:textId="77777777" w:rsidR="00F42888" w:rsidRDefault="00080639">
      <w:pPr>
        <w:ind w:firstLine="420"/>
      </w:pPr>
      <w:r>
        <w:separator/>
      </w:r>
    </w:p>
  </w:footnote>
  <w:footnote w:type="continuationSeparator" w:id="0">
    <w:p w14:paraId="55CB0B0D" w14:textId="77777777" w:rsidR="00F42888" w:rsidRDefault="0008063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D20A37" w14:textId="77777777" w:rsidR="00F42888" w:rsidRDefault="00F42888">
    <w:pPr>
      <w:pStyle w:val="a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76EBB8" w14:textId="77777777" w:rsidR="00F42888" w:rsidRDefault="00F42888">
    <w:pPr>
      <w:pStyle w:val="a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6E3D5C" w14:textId="77777777" w:rsidR="00F42888" w:rsidRDefault="00F42888">
    <w:pPr>
      <w:pStyle w:val="a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M2YzMzYzE3NTc0NDg2OGZkZmIyNDM4MDIyZDI3NzQifQ=="/>
  </w:docVars>
  <w:rsids>
    <w:rsidRoot w:val="0DD8514C"/>
    <w:rsid w:val="00080639"/>
    <w:rsid w:val="004C25F8"/>
    <w:rsid w:val="004E15CD"/>
    <w:rsid w:val="004E4AAB"/>
    <w:rsid w:val="00A01904"/>
    <w:rsid w:val="00AF0531"/>
    <w:rsid w:val="00DA06D1"/>
    <w:rsid w:val="00F275B9"/>
    <w:rsid w:val="00F42888"/>
    <w:rsid w:val="05B55451"/>
    <w:rsid w:val="0DD8514C"/>
    <w:rsid w:val="175828CF"/>
    <w:rsid w:val="1FB5470C"/>
    <w:rsid w:val="27360AD3"/>
    <w:rsid w:val="329B0193"/>
    <w:rsid w:val="3B9B3508"/>
    <w:rsid w:val="3E97598A"/>
    <w:rsid w:val="56C77608"/>
    <w:rsid w:val="7214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BB11514-8619-4674-B70A-9EBD8E08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endnote text"/>
    <w:basedOn w:val="a"/>
    <w:qFormat/>
    <w:pPr>
      <w:snapToGrid w:val="0"/>
      <w:jc w:val="left"/>
    </w:p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ab"/>
    <w:qFormat/>
    <w:rPr>
      <w:b/>
      <w:bCs/>
    </w:rPr>
  </w:style>
  <w:style w:type="character" w:styleId="ac">
    <w:name w:val="annotation reference"/>
    <w:basedOn w:val="a0"/>
    <w:qFormat/>
    <w:rPr>
      <w:sz w:val="21"/>
      <w:szCs w:val="21"/>
    </w:rPr>
  </w:style>
  <w:style w:type="paragraph" w:customStyle="1" w:styleId="MDPI31text">
    <w:name w:val="MDPI_3.1_text"/>
    <w:qFormat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character" w:customStyle="1" w:styleId="a9">
    <w:name w:val="页眉 字符"/>
    <w:basedOn w:val="a0"/>
    <w:link w:val="a8"/>
    <w:qFormat/>
    <w:rPr>
      <w:rFonts w:ascii="Times New Roman" w:eastAsia="Times New Roman" w:hAnsi="Times New Roman" w:cs="Times New Roman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="Times New Roman" w:eastAsia="Times New Roman" w:hAnsi="Times New Roman"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Times New Roman" w:eastAsia="Times New Roman" w:hAnsi="Times New Roman" w:cs="Times New Roman"/>
      <w:kern w:val="2"/>
      <w:sz w:val="21"/>
      <w:szCs w:val="21"/>
    </w:rPr>
  </w:style>
  <w:style w:type="character" w:customStyle="1" w:styleId="ab">
    <w:name w:val="批注主题 字符"/>
    <w:basedOn w:val="a4"/>
    <w:link w:val="aa"/>
    <w:qFormat/>
    <w:rPr>
      <w:rFonts w:ascii="Times New Roman" w:eastAsia="Times New Roman" w:hAnsi="Times New Roman" w:cs="Times New Roman"/>
      <w:b/>
      <w:bCs/>
      <w:kern w:val="2"/>
      <w:sz w:val="21"/>
      <w:szCs w:val="21"/>
    </w:rPr>
  </w:style>
  <w:style w:type="paragraph" w:styleId="ad">
    <w:name w:val="Balloon Text"/>
    <w:basedOn w:val="a"/>
    <w:link w:val="ae"/>
    <w:rsid w:val="00080639"/>
    <w:rPr>
      <w:sz w:val="18"/>
      <w:szCs w:val="18"/>
    </w:rPr>
  </w:style>
  <w:style w:type="character" w:customStyle="1" w:styleId="ae">
    <w:name w:val="批注框文本 字符"/>
    <w:basedOn w:val="a0"/>
    <w:link w:val="ad"/>
    <w:rsid w:val="00080639"/>
    <w:rPr>
      <w:rFonts w:ascii="Times New Roman" w:eastAsia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诺宁</dc:creator>
  <cp:lastModifiedBy>Cynthia Liang</cp:lastModifiedBy>
  <cp:revision>5</cp:revision>
  <dcterms:created xsi:type="dcterms:W3CDTF">2024-09-10T12:58:00Z</dcterms:created>
  <dcterms:modified xsi:type="dcterms:W3CDTF">2025-03-11T07:23:00Z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F92A64C1098046DAA8B9FDA207862F65_13</vt:lpwstr>
  </property>
  <property fmtid="{D5CDD505-2E9C-101B-9397-08002B2CF9AE}" pid="4" name="GrammarlyDocumentId">
    <vt:lpwstr>01b185641bd9d1b2c6bdf338a7b847630d7ec78449079b1b9d7f93b293f81037</vt:lpwstr>
  </property>
  <property fmtid="{D5CDD505-2E9C-101B-9397-08002B2CF9AE}" pid="5" name="KSOTemplateDocerSaveRecord">
    <vt:lpwstr>eyJoZGlkIjoiMTM2YzMzYzE3NTc0NDg2OGZkZmIyNDM4MDIyZDI3NzQiLCJ1c2VySWQiOiIxMjcyMDE5MDc4In0=</vt:lpwstr>
  </property>
</Properties>
</file>